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bookmarkStart w:id="0" w:name="_GoBack"/>
      <w:bookmarkEnd w:id="0"/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1490"/>
        <w:gridCol w:w="253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D32851" w:rsidRDefault="00D32851" w:rsidP="00A7131A">
            <w:pPr>
              <w:spacing w:after="120" w:line="24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Strategie informacyjne w pracy germanisty</w:t>
            </w:r>
          </w:p>
          <w:p w:rsidR="00B01973" w:rsidRPr="000C0EC3" w:rsidRDefault="00D328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val="en-GB"/>
              </w:rPr>
              <w:t>IT strategies in the work of a German philologist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D32851" w:rsidRPr="000C0EC3" w:rsidRDefault="00D328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</w:t>
            </w:r>
            <w:r w:rsidRPr="007B5561">
              <w:rPr>
                <w:rFonts w:ascii="Verdana" w:hAnsi="Verdana"/>
                <w:b/>
                <w:sz w:val="20"/>
                <w:szCs w:val="20"/>
              </w:rPr>
              <w:t>ęzykoznawstwo, literaturoznawstwo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D328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B5561">
              <w:rPr>
                <w:rFonts w:ascii="Verdana" w:hAnsi="Verdana"/>
                <w:b/>
                <w:sz w:val="20"/>
                <w:szCs w:val="20"/>
              </w:rPr>
              <w:t>język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D32851" w:rsidRDefault="008A2622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32851">
              <w:rPr>
                <w:rFonts w:ascii="Verdana" w:hAnsi="Verdana"/>
                <w:b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D328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F254A"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D32851" w:rsidRDefault="000C0EC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32851">
              <w:rPr>
                <w:rFonts w:ascii="Verdana" w:hAnsi="Verdana"/>
                <w:b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D3285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  <w:t>II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D3285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D3285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iCs/>
                <w:color w:val="000000" w:themeColor="text1"/>
                <w:sz w:val="20"/>
                <w:szCs w:val="20"/>
              </w:rPr>
              <w:t>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D32851" w:rsidRPr="000C0EC3" w:rsidRDefault="00D328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ćwiczenia, 30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D328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dr Rafał Jakiel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D32851" w:rsidRPr="007878F8" w:rsidRDefault="00D32851" w:rsidP="00D32851">
            <w:pPr>
              <w:pStyle w:val="Akapitzlist1"/>
              <w:numPr>
                <w:ilvl w:val="0"/>
                <w:numId w:val="2"/>
              </w:numPr>
              <w:spacing w:before="120" w:line="240" w:lineRule="exact"/>
              <w:ind w:left="284" w:hanging="28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umiejętność korzystania z systemu komputerowego (sprzętu komputerowego oraz oprogramowania), działających w obrębie sieci komputerowej;</w:t>
            </w:r>
          </w:p>
          <w:p w:rsidR="00D32851" w:rsidRPr="00D32851" w:rsidRDefault="00D32851" w:rsidP="00D32851">
            <w:pPr>
              <w:pStyle w:val="Akapitzlist1"/>
              <w:numPr>
                <w:ilvl w:val="0"/>
                <w:numId w:val="2"/>
              </w:numPr>
              <w:spacing w:line="240" w:lineRule="exact"/>
              <w:ind w:left="284" w:hanging="284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gotowość do pracy w zespole;</w:t>
            </w:r>
          </w:p>
          <w:p w:rsidR="00B01973" w:rsidRPr="000C0EC3" w:rsidRDefault="00D32851" w:rsidP="00D32851">
            <w:pPr>
              <w:pStyle w:val="Akapitzlist1"/>
              <w:numPr>
                <w:ilvl w:val="0"/>
                <w:numId w:val="2"/>
              </w:numPr>
              <w:spacing w:line="240" w:lineRule="exact"/>
              <w:ind w:left="284" w:hanging="284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przestrzeganie zasad dyscypliny (terminowość, punktualność, samodzielność w wykonywaniu działań)</w:t>
            </w:r>
            <w:r w:rsidRPr="007878F8">
              <w:rPr>
                <w:rFonts w:ascii="Tahoma" w:hAnsi="Tahoma" w:cs="Tahoma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before="120"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Wykształcenie umiejętności świadomego i sprawnego posługiwania się komputerem oraz narzędziami i metodami informatyki w działalności naukowej, na potrzeby badań filologicznych (w ścisłym połączeniu z ich metodologią) oraz na potrzeby pracy zawodowej i pedagogicznej. </w:t>
            </w:r>
          </w:p>
          <w:p w:rsidR="00D32851" w:rsidRPr="00D32851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6" w:hanging="306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Przygotowanie metodologiczne do zastosowania najnowszych technologii w trakcie podejmowania pracy naukowej.</w:t>
            </w:r>
          </w:p>
          <w:p w:rsidR="00B01973" w:rsidRPr="00D32851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6" w:hanging="306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Przygotowanie do aktywnego funkcjonowania w społeczeństwie informacyjnym.</w:t>
            </w:r>
          </w:p>
          <w:p w:rsidR="00D32851" w:rsidRPr="000C0EC3" w:rsidRDefault="00D32851" w:rsidP="00D32851">
            <w:pPr>
              <w:spacing w:after="0" w:line="245" w:lineRule="exact"/>
              <w:ind w:left="306"/>
              <w:rPr>
                <w:rFonts w:ascii="Verdana" w:hAnsi="Verdana"/>
                <w:sz w:val="20"/>
                <w:szCs w:val="20"/>
              </w:rPr>
            </w:pPr>
          </w:p>
        </w:tc>
      </w:tr>
      <w:tr w:rsidR="00D32851" w:rsidRPr="000C0EC3" w:rsidTr="00A7131A">
        <w:trPr>
          <w:trHeight w:val="72"/>
        </w:trPr>
        <w:tc>
          <w:tcPr>
            <w:tcW w:w="487" w:type="dxa"/>
          </w:tcPr>
          <w:p w:rsidR="00D32851" w:rsidRPr="000C0EC3" w:rsidRDefault="00D32851" w:rsidP="00D3285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7878F8" w:rsidRDefault="00D32851" w:rsidP="00D32851">
            <w:pPr>
              <w:spacing w:line="245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Treści programowe 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Metodologia badań filologicznych, w których wykorzystuje się nowe technologie, m.in. tzw. literaturoznawcza filologia komputerowa (niem.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Computerphilologie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 i językoznawstwo komputerowe. Badania korpusowe (ilościowe), kwantyfikacja i badania statystyczne – wyjaśnienie terminów, metody i obszar zainteresowań badawczych, najnowsze trendy. Tłumaczenie maszynowe i tłumaczenie wspomagane komputerowo (CAT) jako praktyczne zastosowanie analiz lingwistyki komputerowej.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Edytor tekstu i opracowywanie dokumentów o rozbudowanej strukturze, zawierających informacje pochodzące z różnych źródeł, system odnośników, generowany spis treści, spis ilustracji. Najważniejsze informacje dotyczące formatowania i komponowania pracy naukowej (dyplomowej).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Arkusz kalkulacyjny – omówienie podstawowych możliwości, ze szczególnym uwzględnieniem wykorzystania funkcji (formuł), aplikacji (makr) oraz wykresów w badaniach filologa (na przykładzie badań ilościowych).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Lingwistyka korpusowa, jej podstawy, dostępne oprogramowanie do analiz (np.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AntConc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WordSmith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tools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 Przetwarzanie danych: konkordancja, frekwencja, jakość.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Programy OCR do wykrywania i opracowywania tekstu na podstawie zeskanowanych dokumentów. Możliwości aplikacji: FreeOCR.net 3.0 lub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Abbyy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FineReader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Integracja wykrytego zapisu z tekstem pracy naukowej.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Systemy słownikowe (np. TL+7) i ich zastosowanie w edytorze tekstu.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Omówienie podstawowych funkcji programów CAT, wspomagających pracę tłumacza, na przykładzie pakietu SDL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Trados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Studio oraz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OmegaT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Menadżery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bibliografii –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Mendeley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Citavi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Zotero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zarządzanie bazą danych wykorzystywanych publikacji, generowanie spisów bibliograficznych, zmiana style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sheetów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; normy i zasady zapisów bibliograficznych.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Program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Publish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Perish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(POP) – naukowa baza danych Google Scholar i wyszukiwanie istotnych pozycji naukowych. Peryferia i centrum w pracy badawczej. Jak poprawnie napisać „Stan badań”? Inne wyszukiwarki naukowe (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deepweb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Poster – wizualno-przestrzenna forma prezentacji treści naukowej, multimedialny abstrakt.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Skuteczna prezentacja w programie Microsoft Power Point. Czego unikać? Najnowsze badania dotyczące percepcji multimedialnych treści. Prezentacje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Prezi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mapy myśli i nowe formy wizualnego opracowywania wyników badań (np.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ManyEyes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Wordle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 Podstawy programu GIMP jako narzędzia pomocniczego przy tworzeniu prezentacji oraz przygotowywaniu grafik, wizualizacji.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Organizacja pracy przy pomocy zaawansowanego oprogramowania: programy i aplikacje online służące do pracy zdalnej, pracy w zespole, interaktywnego zarządzania działaniami np. (np. JIRA,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GitLab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). Narzędzia udostępniania obrazu pulpitu na odległość. Narzędzia do prowadzenia interaktywnych wideokonferencji. 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Bezpieczeństwo w sieci.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0" w:lineRule="auto"/>
              <w:ind w:left="306" w:hanging="306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Źródła uznawalne – pozyskiwanie informacji / publikacji w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internecie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(w świetle Ustawy o prawie autorskim i prawach pokrewnych).</w:t>
            </w:r>
          </w:p>
        </w:tc>
      </w:tr>
      <w:tr w:rsidR="00D32851" w:rsidRPr="000C0EC3" w:rsidTr="00D32851">
        <w:trPr>
          <w:trHeight w:val="48"/>
        </w:trPr>
        <w:tc>
          <w:tcPr>
            <w:tcW w:w="487" w:type="dxa"/>
            <w:vMerge w:val="restart"/>
          </w:tcPr>
          <w:p w:rsidR="00D32851" w:rsidRPr="000C0EC3" w:rsidRDefault="00D32851" w:rsidP="00D3285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743" w:type="dxa"/>
            <w:gridSpan w:val="2"/>
          </w:tcPr>
          <w:p w:rsidR="00D32851" w:rsidRPr="000C0EC3" w:rsidRDefault="00D32851" w:rsidP="00D328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D32851" w:rsidRPr="000C0EC3" w:rsidRDefault="00D32851" w:rsidP="00D328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38" w:type="dxa"/>
          </w:tcPr>
          <w:p w:rsidR="00D32851" w:rsidRPr="000C0EC3" w:rsidRDefault="00D32851" w:rsidP="00D3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D32851" w:rsidRPr="000C0EC3" w:rsidRDefault="00D32851" w:rsidP="00D3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D32851" w:rsidRPr="000C0EC3" w:rsidTr="00CD0A2D">
        <w:trPr>
          <w:trHeight w:val="48"/>
        </w:trPr>
        <w:tc>
          <w:tcPr>
            <w:tcW w:w="487" w:type="dxa"/>
            <w:vMerge/>
          </w:tcPr>
          <w:p w:rsidR="00D32851" w:rsidRPr="000C0EC3" w:rsidRDefault="00D32851" w:rsidP="00D32851">
            <w:p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0C0EC3" w:rsidRDefault="00D32851" w:rsidP="00D3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WIEDZA</w:t>
            </w:r>
          </w:p>
        </w:tc>
      </w:tr>
      <w:tr w:rsidR="00D32851" w:rsidRPr="000C0EC3" w:rsidTr="00D32851">
        <w:trPr>
          <w:trHeight w:val="48"/>
        </w:trPr>
        <w:tc>
          <w:tcPr>
            <w:tcW w:w="487" w:type="dxa"/>
            <w:vMerge/>
          </w:tcPr>
          <w:p w:rsidR="00D32851" w:rsidRPr="000C0EC3" w:rsidRDefault="00D32851" w:rsidP="00D32851">
            <w:p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743" w:type="dxa"/>
            <w:gridSpan w:val="2"/>
          </w:tcPr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 wiedzę na temat przeznaczenia programów pakietu Microsoft Office, zna ich podstawowe funkcje, wie, w jaki sposób pozyskiwać dalsze wiadomości teoretyczne na temat możliwości zastosowania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oprogramowania biurowego.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 wiedzę na temat posługiwania się programami wspomagającymi badania filologiczne (językoznawcze, literaturoznawcze, kulturoznawcze), wie o ich przeznaczeniu i możliwościach zastosowania, a także zna oferowane przez nie funkcje, np. programy do analizy korpusowej, (np.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AntConc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WordSmith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tools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menadżery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bibliografii (np.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Zotero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Mendeley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Citavi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), wyszukiwarki  wiodących publikacji (np.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Publish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Perish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na podstawie bazy danych publikacji naukowych Google Scholar).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 wiedzę dotyczącą stosowania metod ilościowych w badaniu filologicznym. Wie, jak zaplanować poprawne i miarodajne analizy, korzystając z metod statystycznych, wykorzystując najnowsze technologie.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Zna metody pozyskiwania danych z baz dostępnych w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internecie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Ma wiedzę na temat blogów, portali i innych adresów stron internetowych, które są istotne w pracy germanisty.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 wiedzę dotyczącą tego, do czego służą i jak funkcjonują programy CAT, wspierające pracę tłumacza (np. SDL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Trados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Studio,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OmegaT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). Zna podstawowe pojęcia związane ze świadomym wykorzystywaniem tego typu software’u, np. segmentowanie, pamięć tłumaczeniowa,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fuzzy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matching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Zna przeznaczenie i podstawy posługiwania się programami przeznaczonymi do digitalizacji zbiorów, np. typu OCR: np. FreeOCR.net 3.0,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Abbyy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FineReader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iCs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Zna podstawy posługiwania się programami do tworzenia grafiki menadżerskiej i prezentacyjnej (np. MS PowerPoint, GIMP,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Photoshop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Prezi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).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Wie, do czego służą i jak funkcjonują programy pozwalająca na zarządzanie zdalną pracą oraz pracą w zespole. 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 wiedzę o typach licencji oprogramowania, o jego dystrybucji i możliwościach finansowania. Wie, jak pozyskiwać legalne oprogramowanie.</w:t>
            </w:r>
          </w:p>
        </w:tc>
        <w:tc>
          <w:tcPr>
            <w:tcW w:w="2538" w:type="dxa"/>
          </w:tcPr>
          <w:p w:rsidR="00D32851" w:rsidRPr="007878F8" w:rsidRDefault="00D32851" w:rsidP="00D32851">
            <w:pPr>
              <w:spacing w:line="245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K_W02++</w:t>
            </w:r>
          </w:p>
          <w:p w:rsidR="00D32851" w:rsidRPr="000C0EC3" w:rsidRDefault="00D32851" w:rsidP="00D3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K_W06++</w:t>
            </w:r>
          </w:p>
        </w:tc>
      </w:tr>
      <w:tr w:rsidR="00D32851" w:rsidRPr="000C0EC3" w:rsidTr="00D24F0F">
        <w:trPr>
          <w:trHeight w:val="48"/>
        </w:trPr>
        <w:tc>
          <w:tcPr>
            <w:tcW w:w="487" w:type="dxa"/>
            <w:vMerge/>
          </w:tcPr>
          <w:p w:rsidR="00D32851" w:rsidRPr="000C0EC3" w:rsidRDefault="00D32851" w:rsidP="00D32851">
            <w:p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0C0EC3" w:rsidRDefault="00D32851" w:rsidP="00D3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UMIEJĘTNOŚCI</w:t>
            </w:r>
          </w:p>
        </w:tc>
      </w:tr>
      <w:tr w:rsidR="00D32851" w:rsidRPr="000C0EC3" w:rsidTr="00D32851">
        <w:trPr>
          <w:trHeight w:val="48"/>
        </w:trPr>
        <w:tc>
          <w:tcPr>
            <w:tcW w:w="487" w:type="dxa"/>
            <w:vMerge/>
          </w:tcPr>
          <w:p w:rsidR="00D32851" w:rsidRPr="000C0EC3" w:rsidRDefault="00D32851" w:rsidP="00D32851">
            <w:p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743" w:type="dxa"/>
            <w:gridSpan w:val="2"/>
          </w:tcPr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Potrafi posługiwać się prostymi programami wspomagającymi badania filologiczne (np.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AntConc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WordSmith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tools,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Zotero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Mendeley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Citavi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WizFolio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, Publish or Perish). P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osiada umiejętność wykorzystania ich podstawowych funkcji.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Potrafi sprawnie korzystać z naukowych baz danych (np.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Scirus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Jstor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Google Scholar, dostęp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proxy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do baz Uniwersytetu Wrocławskiego wraz z dostępami czasowymi do międzynarodowych zbiorów), wyszukiwać żądane informacje, korzystać z usług w sieciach informatycznych.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sprawnie i samodzielnie posługiwać się podstawowym oprogramowaniem biurowym Microsoft Office, tj. programami Word, Excel, PowerPoint: edycja i korekta tekstów, sortowanie danych, tworzenie tabel, wklejanie rysunków i obrazów, generowanie elementów automatycznych (np. spis treści, wykaz obrazów), edycja i formatowanie tekstu naukowego / pracy magisterskiej, zmiana stylów, poprawne konstruowanie zapisów bibliograficznych na podstawie obowiązujących norm.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Potrafi posługiwać się wybranymi programami CAT (np. SDL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Trados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Studio,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OmegaT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). Potrafi przetłumaczyć tekst przy użyciu pamięci tłumaczeniowej, glosariuszy i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dopasowań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rozmytych.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Potrafi posługiwać się aplikacjami do wykrywania tekstu OCR (np. FreeOCR.net 3.0,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Abbyy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FineReader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). Ma umiejętność skanowania i fotografowania dokumentów, wykrywania tekstu, prostej konwersji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formatów, integracji wykrytego i przetworzonego tekstu z dokumentem / pracą naukową.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wykonać proste czynności podczas tworzenia prezentacji: importować obrazy z różnych źródeł, wykonać proste transformacje pliku graficznego i przystosować go do wykorzystania w grafice prezentacyjnej, przy zastosowaniu zasad percepcji treści i reguł tworzenia skutecznej prezentacji.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Posiada umiejętność zróżnicowanego wykorzystywania technologii informacyjnej w pracy naukowej, a także zawodowej i pedagogicznej. </w:t>
            </w:r>
          </w:p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Potrafi obsługiwać programy służące do pracy zdalnej, pracy w zespole, interaktywnego zarządzania działaniami.</w:t>
            </w:r>
          </w:p>
        </w:tc>
        <w:tc>
          <w:tcPr>
            <w:tcW w:w="2538" w:type="dxa"/>
          </w:tcPr>
          <w:p w:rsidR="00D32851" w:rsidRPr="007878F8" w:rsidRDefault="00D32851" w:rsidP="00D32851">
            <w:pPr>
              <w:spacing w:line="245" w:lineRule="exac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K_U09++</w:t>
            </w:r>
          </w:p>
          <w:p w:rsidR="00D32851" w:rsidRPr="007878F8" w:rsidRDefault="00D32851" w:rsidP="00D32851">
            <w:pPr>
              <w:spacing w:line="245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K_U11+++</w:t>
            </w:r>
          </w:p>
        </w:tc>
      </w:tr>
      <w:tr w:rsidR="00D32851" w:rsidRPr="000C0EC3" w:rsidTr="00B81340">
        <w:trPr>
          <w:trHeight w:val="48"/>
        </w:trPr>
        <w:tc>
          <w:tcPr>
            <w:tcW w:w="487" w:type="dxa"/>
            <w:vMerge/>
          </w:tcPr>
          <w:p w:rsidR="00D32851" w:rsidRPr="000C0EC3" w:rsidRDefault="00D32851" w:rsidP="00D32851">
            <w:p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0C0EC3" w:rsidRDefault="00D32851" w:rsidP="00D328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KOMPETENCJE SPOŁECZNE</w:t>
            </w:r>
          </w:p>
        </w:tc>
      </w:tr>
      <w:tr w:rsidR="00D32851" w:rsidRPr="000C0EC3" w:rsidTr="00D32851">
        <w:trPr>
          <w:trHeight w:val="48"/>
        </w:trPr>
        <w:tc>
          <w:tcPr>
            <w:tcW w:w="487" w:type="dxa"/>
            <w:vMerge/>
          </w:tcPr>
          <w:p w:rsidR="00D32851" w:rsidRPr="000C0EC3" w:rsidRDefault="00D32851" w:rsidP="00D32851">
            <w:pPr>
              <w:spacing w:after="120" w:line="240" w:lineRule="auto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743" w:type="dxa"/>
            <w:gridSpan w:val="2"/>
          </w:tcPr>
          <w:p w:rsidR="00D32851" w:rsidRPr="007878F8" w:rsidRDefault="00D32851" w:rsidP="00D32851">
            <w:pPr>
              <w:numPr>
                <w:ilvl w:val="0"/>
                <w:numId w:val="3"/>
              </w:numPr>
              <w:tabs>
                <w:tab w:val="num" w:pos="308"/>
              </w:tabs>
              <w:spacing w:after="0" w:line="245" w:lineRule="exact"/>
              <w:ind w:left="308" w:hanging="308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Pracuje zgodnie z zasadami etyki zawodowej, stosując się do regulacji prawnych odnoszących się do własności intelektualnej (ochrona prawa autorskiego).</w:t>
            </w:r>
          </w:p>
        </w:tc>
        <w:tc>
          <w:tcPr>
            <w:tcW w:w="2538" w:type="dxa"/>
          </w:tcPr>
          <w:p w:rsidR="00D32851" w:rsidRPr="007878F8" w:rsidRDefault="00D32851" w:rsidP="00D32851">
            <w:pPr>
              <w:spacing w:line="245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K_K03+++</w:t>
            </w:r>
          </w:p>
        </w:tc>
      </w:tr>
      <w:tr w:rsidR="00D32851" w:rsidRPr="000C0EC3" w:rsidTr="00A7131A">
        <w:trPr>
          <w:trHeight w:val="24"/>
        </w:trPr>
        <w:tc>
          <w:tcPr>
            <w:tcW w:w="487" w:type="dxa"/>
          </w:tcPr>
          <w:p w:rsidR="00D32851" w:rsidRPr="000C0EC3" w:rsidRDefault="00D32851" w:rsidP="00D3285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0C0EC3" w:rsidRDefault="00D32851" w:rsidP="00D32851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Bogucki Łukasz, Tłumaczenie wspomagane komputerowo. Warszawa: PWN 2009.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Czopik Jerzy, SDL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Trados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Studio 2009 dla (nie-)wtajemniczonych. Dortmund/Poznań: Biuro Marketingowe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Adebik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2011.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Dobek-Ostrowska Bogusława, Badania ilościowe i jakościowe w studiach nad komunikowaniem. Wrocław: Wydawnictwo Uniwersytetu Wrocławskiego 2017.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de-DE"/>
              </w:rPr>
              <w:t xml:space="preserve">Fotis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de-DE"/>
              </w:rPr>
              <w:t>Jannidis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de-DE"/>
              </w:rPr>
              <w:t xml:space="preserve">, Computerphilologie. W: Thomas Anz (red.), Handbuch Literaturwissenschaft.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Bd.2: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Methoden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und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Theorien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Stuttgart, Weimar: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Metzler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2007. S. 27-40.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Graliński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Filip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et al, Computational linguistics: applications. Berlin, Heidelberg: Springer 2013.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Gralla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Preston, System Windows. Najlepsze rozwiązania. Gliwice: Helion 2008.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Grishman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Ralph, Computational Linguistics: An Introduction. Cambridge: Cambridge University Press 1986.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Gumster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Jason van,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Shimonski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Robert, GIMP. Biblia.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Gliwice: Helion 2011.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Jaronicki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Adam, ABC MS Office 2007 PL. Gliwice: Helion 2008.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Jassem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Krzysztof, Przetwarzanie tekstów polskich w systemie tłumaczenia automatycznego POLENG. Poznań: Wydawnictwo Naukowe Uniwersytetu im. Adama Mickiewicza 2006.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Kaczmarek Mirosława, Olejnik Iwona, Springer Agnieszka; Badania jakościowe: metody i zastosowania.</w:t>
            </w:r>
            <w:r w:rsidRPr="007878F8">
              <w:rPr>
                <w:color w:val="000000" w:themeColor="text1"/>
              </w:rPr>
              <w:t xml:space="preserve">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Warszawa: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CeDeWu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2013.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Krawczyk Stanisław, Pojęcia uniwersalne w badaniach naukowych. </w:t>
            </w:r>
            <w:r w:rsidRPr="007878F8">
              <w:rPr>
                <w:color w:val="000000" w:themeColor="text1"/>
              </w:rPr>
              <w:t xml:space="preserve">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Zielona Góra : Oficyna Wydawnicza Uniwersytetu Zielonogórskiego 2016.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Lewandowska-Tomaszczyk Barbara, Podstawy językoznawstwa korpusowego. Łódź: Wydawnictwo Uniwersytetu Łódzkiego 2005.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de-DE"/>
              </w:rPr>
              <w:t>Lobin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  <w:lang w:val="de-DE"/>
              </w:rPr>
              <w:t xml:space="preserve"> Henning, Computerlinguistik und Texttechnologie. Paderborn/München: Fink 2010.</w:t>
            </w:r>
          </w:p>
          <w:p w:rsidR="00D32851" w:rsidRPr="007878F8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Marciniak Jacek, Inteligentne systemy e-learningowe wykorzystujące ontologie typu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wordnet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7878F8">
              <w:rPr>
                <w:color w:val="000000" w:themeColor="text1"/>
              </w:rPr>
              <w:t xml:space="preserve">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Poznań: Wydawnictwo Naukowe Uniwersytetu im. Adama Mickiewicza 2015.</w:t>
            </w:r>
          </w:p>
          <w:p w:rsidR="00D32851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Marszakowa-Szajkiewicz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Irena,</w:t>
            </w:r>
            <w:r w:rsidRPr="007878F8">
              <w:rPr>
                <w:color w:val="000000" w:themeColor="text1"/>
              </w:rPr>
              <w:t xml:space="preserve"> </w:t>
            </w: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Badania ilościowe nauki: podejście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bibliometryczne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webometryczne</w:t>
            </w:r>
            <w:proofErr w:type="spellEnd"/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. Poznań: Uniwersytet im. Adama Mickiewicza 2009.</w:t>
            </w:r>
          </w:p>
          <w:p w:rsidR="00D32851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2851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Masłowski Krzysztof, Excel 2007/2010 PL. Ćwiczenia zaawansowane. Gliwice: Helion 2011.</w:t>
            </w:r>
          </w:p>
          <w:p w:rsidR="00D32851" w:rsidRPr="00D32851" w:rsidRDefault="00D32851" w:rsidP="00D32851">
            <w:pPr>
              <w:numPr>
                <w:ilvl w:val="0"/>
                <w:numId w:val="4"/>
              </w:numPr>
              <w:tabs>
                <w:tab w:val="num" w:pos="677"/>
              </w:tabs>
              <w:spacing w:after="0" w:line="240" w:lineRule="auto"/>
              <w:ind w:left="306" w:hanging="306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32851">
              <w:rPr>
                <w:rFonts w:ascii="Tahoma" w:hAnsi="Tahoma" w:cs="Tahoma"/>
                <w:color w:val="000000" w:themeColor="text1"/>
                <w:sz w:val="20"/>
                <w:szCs w:val="20"/>
              </w:rPr>
              <w:t>Parlińska Maria, Parliński Jacek, Badania statystyczne z Excelem. Warszawa: Wydawnictwo SGGW 2007.</w:t>
            </w:r>
          </w:p>
        </w:tc>
      </w:tr>
      <w:tr w:rsidR="00D32851" w:rsidRPr="000C0EC3" w:rsidTr="00A7131A">
        <w:trPr>
          <w:trHeight w:val="121"/>
        </w:trPr>
        <w:tc>
          <w:tcPr>
            <w:tcW w:w="487" w:type="dxa"/>
          </w:tcPr>
          <w:p w:rsidR="00D32851" w:rsidRPr="000C0EC3" w:rsidRDefault="00D32851" w:rsidP="00D3285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efektów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D32851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D32851" w:rsidRPr="007878F8" w:rsidRDefault="00D32851" w:rsidP="00D32851">
            <w:pPr>
              <w:spacing w:line="245" w:lineRule="exac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K_W02, K_W06, K_U09, K_U11 - wykonanie określonego zadania (w grupach, parach lub</w:t>
            </w:r>
          </w:p>
          <w:p w:rsidR="00D32851" w:rsidRDefault="00D32851" w:rsidP="00D32851">
            <w:pPr>
              <w:spacing w:line="245" w:lineRule="exac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indywidualnie) </w:t>
            </w:r>
          </w:p>
          <w:p w:rsidR="00D32851" w:rsidRPr="007878F8" w:rsidRDefault="00D32851" w:rsidP="00D32851">
            <w:pPr>
              <w:spacing w:line="245" w:lineRule="exac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K_U09, K_U11, K_K03 - praca domowa w formie pisemnej</w:t>
            </w:r>
          </w:p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D32851" w:rsidRPr="000C0EC3" w:rsidTr="00A7131A">
        <w:trPr>
          <w:trHeight w:val="9"/>
        </w:trPr>
        <w:tc>
          <w:tcPr>
            <w:tcW w:w="487" w:type="dxa"/>
          </w:tcPr>
          <w:p w:rsidR="00D32851" w:rsidRPr="000C0EC3" w:rsidRDefault="00D32851" w:rsidP="00D3285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0C0EC3" w:rsidRDefault="00D32851" w:rsidP="00D328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D32851" w:rsidRPr="007878F8" w:rsidRDefault="00D32851" w:rsidP="00D32851">
            <w:pPr>
              <w:spacing w:line="245" w:lineRule="exac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K_W02, K_W06, K_U09, K_U11 - wykonanie określonego zadania (w grupach, parach lub</w:t>
            </w:r>
          </w:p>
          <w:p w:rsidR="00D32851" w:rsidRDefault="00D32851" w:rsidP="00D32851">
            <w:pPr>
              <w:spacing w:line="245" w:lineRule="exac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indywidualnie) </w:t>
            </w:r>
          </w:p>
          <w:p w:rsidR="00D32851" w:rsidRPr="007878F8" w:rsidRDefault="00D32851" w:rsidP="00D32851">
            <w:pPr>
              <w:spacing w:line="245" w:lineRule="exac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878F8">
              <w:rPr>
                <w:rFonts w:ascii="Tahoma" w:hAnsi="Tahoma" w:cs="Tahoma"/>
                <w:color w:val="000000" w:themeColor="text1"/>
                <w:sz w:val="20"/>
                <w:szCs w:val="20"/>
              </w:rPr>
              <w:t>K_U09, K_U11, K_K03 - praca domowa w formie pisemnej</w:t>
            </w:r>
          </w:p>
          <w:p w:rsidR="00D32851" w:rsidRPr="00D32851" w:rsidRDefault="00D32851" w:rsidP="00D32851">
            <w:pPr>
              <w:spacing w:line="245" w:lineRule="exac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32851" w:rsidRPr="000C0EC3" w:rsidTr="00A7131A">
        <w:trPr>
          <w:trHeight w:val="22"/>
        </w:trPr>
        <w:tc>
          <w:tcPr>
            <w:tcW w:w="487" w:type="dxa"/>
            <w:vMerge w:val="restart"/>
          </w:tcPr>
          <w:p w:rsidR="00D32851" w:rsidRPr="000C0EC3" w:rsidRDefault="00D32851" w:rsidP="00D32851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D32851" w:rsidRPr="000C0EC3" w:rsidRDefault="00D32851" w:rsidP="00D3285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D32851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D32851" w:rsidRPr="000C0EC3" w:rsidRDefault="00D32851" w:rsidP="00D328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D32851" w:rsidRPr="000C0EC3" w:rsidRDefault="00D32851" w:rsidP="00D3285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D32851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D32851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D32851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gridSpan w:val="2"/>
          </w:tcPr>
          <w:p w:rsidR="00D32851" w:rsidRPr="00D32851" w:rsidRDefault="00D32851" w:rsidP="00D3285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32851">
              <w:rPr>
                <w:rFonts w:ascii="Verdana" w:hAnsi="Verdana"/>
                <w:b/>
                <w:sz w:val="20"/>
                <w:szCs w:val="20"/>
              </w:rPr>
              <w:t>30</w:t>
            </w:r>
          </w:p>
        </w:tc>
      </w:tr>
      <w:tr w:rsidR="00D32851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D32851" w:rsidRPr="000C0EC3" w:rsidRDefault="00D32851" w:rsidP="00D328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D32851" w:rsidRPr="000C0EC3" w:rsidRDefault="00D32851" w:rsidP="00D328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D32851" w:rsidRPr="000C0EC3" w:rsidRDefault="00D32851" w:rsidP="00D3285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gridSpan w:val="2"/>
          </w:tcPr>
          <w:p w:rsidR="00D32851" w:rsidRDefault="00D32851" w:rsidP="00D3285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32851">
              <w:rPr>
                <w:rFonts w:ascii="Verdana" w:hAnsi="Verdana"/>
                <w:b/>
                <w:sz w:val="20"/>
                <w:szCs w:val="20"/>
              </w:rPr>
              <w:t>30</w:t>
            </w:r>
          </w:p>
          <w:p w:rsidR="00D32851" w:rsidRPr="00D32851" w:rsidRDefault="00D32851" w:rsidP="000E3C2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32851">
              <w:rPr>
                <w:rFonts w:ascii="Verdana" w:hAnsi="Verdana"/>
                <w:b/>
                <w:sz w:val="20"/>
                <w:szCs w:val="20"/>
              </w:rPr>
              <w:t>15</w:t>
            </w:r>
          </w:p>
          <w:p w:rsidR="00D32851" w:rsidRPr="00D32851" w:rsidRDefault="00D32851" w:rsidP="000E3C28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32851">
              <w:rPr>
                <w:rFonts w:ascii="Verdana" w:hAnsi="Verdana"/>
                <w:b/>
                <w:sz w:val="20"/>
                <w:szCs w:val="20"/>
              </w:rPr>
              <w:t>15</w:t>
            </w:r>
          </w:p>
        </w:tc>
      </w:tr>
      <w:tr w:rsidR="00D32851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D32851" w:rsidRPr="000C0EC3" w:rsidRDefault="00D32851" w:rsidP="00D3285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D32851" w:rsidRPr="00D32851" w:rsidRDefault="00D32851" w:rsidP="00D3285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32851">
              <w:rPr>
                <w:rFonts w:ascii="Verdana" w:hAnsi="Verdana"/>
                <w:b/>
                <w:sz w:val="20"/>
                <w:szCs w:val="20"/>
              </w:rPr>
              <w:t>60</w:t>
            </w:r>
          </w:p>
        </w:tc>
      </w:tr>
      <w:tr w:rsidR="00D32851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D32851" w:rsidRPr="000C0EC3" w:rsidRDefault="00D32851" w:rsidP="00D328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D32851" w:rsidRPr="000C0EC3" w:rsidRDefault="00D32851" w:rsidP="00D32851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D32851" w:rsidRPr="00D32851" w:rsidRDefault="00D32851" w:rsidP="00D32851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2CB2113"/>
    <w:multiLevelType w:val="hybridMultilevel"/>
    <w:tmpl w:val="D0BE9DF8"/>
    <w:lvl w:ilvl="0" w:tplc="BFF8290C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4ED30C7"/>
    <w:multiLevelType w:val="hybridMultilevel"/>
    <w:tmpl w:val="4588DEE4"/>
    <w:lvl w:ilvl="0" w:tplc="6694D63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D3960D7"/>
    <w:multiLevelType w:val="hybridMultilevel"/>
    <w:tmpl w:val="7180C9A0"/>
    <w:lvl w:ilvl="0" w:tplc="A8240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0E3C28"/>
    <w:rsid w:val="00155767"/>
    <w:rsid w:val="001A1CFD"/>
    <w:rsid w:val="001F2580"/>
    <w:rsid w:val="0021588C"/>
    <w:rsid w:val="002F2524"/>
    <w:rsid w:val="003702B5"/>
    <w:rsid w:val="003F06AC"/>
    <w:rsid w:val="004556E6"/>
    <w:rsid w:val="004756FB"/>
    <w:rsid w:val="006A06B2"/>
    <w:rsid w:val="00773E2F"/>
    <w:rsid w:val="007D2D65"/>
    <w:rsid w:val="00864E2D"/>
    <w:rsid w:val="008A2622"/>
    <w:rsid w:val="0099524F"/>
    <w:rsid w:val="00A66E97"/>
    <w:rsid w:val="00A7131A"/>
    <w:rsid w:val="00B01973"/>
    <w:rsid w:val="00B4175D"/>
    <w:rsid w:val="00B46E64"/>
    <w:rsid w:val="00B61093"/>
    <w:rsid w:val="00C01E79"/>
    <w:rsid w:val="00C22864"/>
    <w:rsid w:val="00C6323D"/>
    <w:rsid w:val="00D27D69"/>
    <w:rsid w:val="00D32851"/>
    <w:rsid w:val="00E352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3285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3285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1655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2019-06-08T14:51:00Z</dcterms:created>
  <dcterms:modified xsi:type="dcterms:W3CDTF">2019-06-08T14:51:00Z</dcterms:modified>
</cp:coreProperties>
</file>