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A7" w:rsidRPr="00056FA2" w:rsidRDefault="00DF1BA7" w:rsidP="00C116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056FA2">
        <w:rPr>
          <w:rFonts w:ascii="Tahoma" w:hAnsi="Tahoma" w:cs="Tahoma"/>
          <w:b/>
          <w:bCs/>
          <w:sz w:val="20"/>
          <w:szCs w:val="20"/>
        </w:rPr>
        <w:t>OPIS PRZEDMIOTU/MODUŁU KSZTAŁCENIA (SYLABUS)</w:t>
      </w:r>
    </w:p>
    <w:p w:rsidR="00DF1BA7" w:rsidRPr="00056FA2" w:rsidRDefault="00DF1BA7" w:rsidP="00C116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F1BA7" w:rsidRPr="00056FA2" w:rsidRDefault="00DF1BA7" w:rsidP="00C1160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742" w:type="dxa"/>
        <w:tblInd w:w="-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"/>
        <w:gridCol w:w="495"/>
        <w:gridCol w:w="7610"/>
        <w:gridCol w:w="1422"/>
        <w:gridCol w:w="185"/>
      </w:tblGrid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Nazwa przedmiotu/modułu w języku polskim: </w:t>
            </w:r>
            <w:r w:rsidRPr="00056FA2">
              <w:rPr>
                <w:rFonts w:ascii="Tahoma" w:hAnsi="Tahoma" w:cs="Tahoma"/>
                <w:b/>
                <w:sz w:val="20"/>
                <w:szCs w:val="20"/>
              </w:rPr>
              <w:t>Kulturoznawstwo – część ogólna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Nazwa przedmiotu/modułu w języku angielskim: </w:t>
            </w:r>
            <w:proofErr w:type="spellStart"/>
            <w:r w:rsidRPr="00056FA2">
              <w:rPr>
                <w:rFonts w:ascii="Tahoma" w:hAnsi="Tahoma" w:cs="Tahoma"/>
                <w:sz w:val="20"/>
                <w:szCs w:val="20"/>
              </w:rPr>
              <w:t>Cultural</w:t>
            </w:r>
            <w:proofErr w:type="spellEnd"/>
            <w:r w:rsidRPr="00056FA2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56FA2">
              <w:rPr>
                <w:rFonts w:ascii="Tahoma" w:hAnsi="Tahoma" w:cs="Tahoma"/>
                <w:sz w:val="20"/>
                <w:szCs w:val="20"/>
              </w:rPr>
              <w:t>Studies</w:t>
            </w:r>
            <w:proofErr w:type="spellEnd"/>
            <w:r w:rsidRPr="00056FA2">
              <w:rPr>
                <w:rFonts w:ascii="Tahoma" w:hAnsi="Tahoma" w:cs="Tahoma"/>
                <w:sz w:val="20"/>
                <w:szCs w:val="20"/>
              </w:rPr>
              <w:t xml:space="preserve"> -  general part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Jednostka prowadząca przedmiot: Instytut Filologii Germańskiej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  <w:trHeight w:val="314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Kod przedmiotu/modułu: 21-FL-G-S1-n3kult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Rodzaj przedmiotu/modułu: obowiązkowy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Kierunek studiów: filologia germańska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Poziom studiów: I stopień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Rok studiów: drugi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Semestr: letni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Forma zajęć i liczba godzin: 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wykład, 30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ćwiczenia, 30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Imię, nazwisko, tytuł/stopień naukowy osoby prowadzącej zajęcia: 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wykład: prof. dr hab. Marek </w:t>
            </w:r>
            <w:proofErr w:type="spellStart"/>
            <w:r w:rsidRPr="00056FA2">
              <w:rPr>
                <w:rFonts w:ascii="Tahoma" w:hAnsi="Tahoma" w:cs="Tahoma"/>
                <w:sz w:val="20"/>
                <w:szCs w:val="20"/>
              </w:rPr>
              <w:t>Hałub</w:t>
            </w:r>
            <w:proofErr w:type="spellEnd"/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ćwiczenia: dr Leszek Dziemianko, dr Mariusz </w:t>
            </w:r>
            <w:proofErr w:type="spellStart"/>
            <w:r w:rsidRPr="00056FA2">
              <w:rPr>
                <w:rFonts w:ascii="Tahoma" w:hAnsi="Tahoma" w:cs="Tahoma"/>
                <w:sz w:val="20"/>
                <w:szCs w:val="20"/>
              </w:rPr>
              <w:t>Dzieweczyński</w:t>
            </w:r>
            <w:proofErr w:type="spellEnd"/>
            <w:r w:rsidRPr="00056FA2">
              <w:rPr>
                <w:rFonts w:ascii="Tahoma" w:hAnsi="Tahoma" w:cs="Tahoma"/>
                <w:sz w:val="20"/>
                <w:szCs w:val="20"/>
              </w:rPr>
              <w:t xml:space="preserve">, dr </w:t>
            </w:r>
            <w:r w:rsidR="00A84A9D">
              <w:rPr>
                <w:rFonts w:ascii="Tahoma" w:hAnsi="Tahoma" w:cs="Tahoma"/>
                <w:sz w:val="20"/>
                <w:szCs w:val="20"/>
              </w:rPr>
              <w:t xml:space="preserve">hab. </w:t>
            </w:r>
            <w:r w:rsidRPr="00056FA2">
              <w:rPr>
                <w:rFonts w:ascii="Tahoma" w:hAnsi="Tahoma" w:cs="Tahoma"/>
                <w:sz w:val="20"/>
                <w:szCs w:val="20"/>
              </w:rPr>
              <w:t xml:space="preserve">Dariusz Komorowski, </w:t>
            </w:r>
            <w:r w:rsidR="00A84A9D">
              <w:rPr>
                <w:rFonts w:ascii="Tahoma" w:hAnsi="Tahoma" w:cs="Tahoma"/>
                <w:sz w:val="20"/>
                <w:szCs w:val="20"/>
              </w:rPr>
              <w:t xml:space="preserve">dr Adrian Madej, </w:t>
            </w:r>
            <w:r w:rsidRPr="00056FA2">
              <w:rPr>
                <w:rFonts w:ascii="Tahoma" w:hAnsi="Tahoma" w:cs="Tahoma"/>
                <w:sz w:val="20"/>
                <w:szCs w:val="20"/>
              </w:rPr>
              <w:t>dr Marcin Miodek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Wymagania wstępne w zakresie wiedzy, umiejętności i kompetencji społecznych dla przedmiotu/modułu oraz zrealizowanych przedmiotów: 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podstawowa znajomość języ</w:t>
            </w:r>
            <w:r w:rsidR="00F905CA">
              <w:rPr>
                <w:rFonts w:ascii="Tahoma" w:hAnsi="Tahoma" w:cs="Tahoma"/>
                <w:sz w:val="20"/>
                <w:szCs w:val="20"/>
              </w:rPr>
              <w:t>ka niemieckiego, zaliczenie trzec</w:t>
            </w:r>
            <w:r w:rsidRPr="00056FA2">
              <w:rPr>
                <w:rFonts w:ascii="Tahoma" w:hAnsi="Tahoma" w:cs="Tahoma"/>
                <w:sz w:val="20"/>
                <w:szCs w:val="20"/>
              </w:rPr>
              <w:t>iego semestru studiów I stopnia oraz posiadanie wiedzy, umiejętności i kompetencji społecznych nabytych podczas przedmiot</w:t>
            </w:r>
            <w:r w:rsidR="00F905CA">
              <w:rPr>
                <w:rFonts w:ascii="Tahoma" w:hAnsi="Tahoma" w:cs="Tahoma"/>
                <w:sz w:val="20"/>
                <w:szCs w:val="20"/>
              </w:rPr>
              <w:t xml:space="preserve">ów zrealizowanych w pierwszym , </w:t>
            </w:r>
            <w:r w:rsidRPr="00056FA2">
              <w:rPr>
                <w:rFonts w:ascii="Tahoma" w:hAnsi="Tahoma" w:cs="Tahoma"/>
                <w:sz w:val="20"/>
                <w:szCs w:val="20"/>
              </w:rPr>
              <w:t xml:space="preserve">drugim </w:t>
            </w:r>
            <w:r w:rsidR="00F905CA">
              <w:rPr>
                <w:rFonts w:ascii="Tahoma" w:hAnsi="Tahoma" w:cs="Tahoma"/>
                <w:sz w:val="20"/>
                <w:szCs w:val="20"/>
              </w:rPr>
              <w:t xml:space="preserve">i trzecim </w:t>
            </w:r>
            <w:r w:rsidRPr="00056FA2">
              <w:rPr>
                <w:rFonts w:ascii="Tahoma" w:hAnsi="Tahoma" w:cs="Tahoma"/>
                <w:sz w:val="20"/>
                <w:szCs w:val="20"/>
              </w:rPr>
              <w:t>semestrze studiów</w:t>
            </w: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Cele przedmiotu: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zapoznanie studentów z ogólnym rozwojem historii kultury krajów niemieckojęzycznych i Śląska na tle historii Europy, stosunków polsko-niemieckich oraz z problematyką germanistyki interkulturowej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umożliwienie nabycia kompetencji analitycznych i interpretacyjnych złożonych procesów kultury i życia kulturalnego, zapoznanie studentów z metodologią badań tych procesów i wyposażenie ich w odpowiednie instrumentarium pojęciowe i analityczne 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056FA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zastosowanie nabytych wiadomości oraz kompetencji analitycznych i interpretacyjnych w praktyce: analiza i </w:t>
            </w:r>
            <w:proofErr w:type="spellStart"/>
            <w:r w:rsidRPr="00056FA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kontekstualizacja</w:t>
            </w:r>
            <w:proofErr w:type="spellEnd"/>
            <w:r w:rsidRPr="00056FA2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omawianych zjawisk i wytworów kultury 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Zakładane efekty kształcenia: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Student, który zaliczył przedmiot,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W01: ma podstawową wiedzę na temat specyfiki przedmiotowej i metodologii badawczej z zakresu kulturoznawstwa (zwłaszcza germanistycznego) oraz o jego głównych kierunkach i perspektywach rozwoju,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W02: zna podstawową terminologię z zakresu niemcoznawstwa interkulturowego w języku polskim i niemieckim oraz ma wiedzę o polsko- i niemieckojęzycznych źródłach informacji dotyczących kultury niemieckiej,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W03: ma podstawową wiedzę na temat znaczenia kulturoznawstwa wśród innych nauk humanistycznych oraz jego powiązań z dyscyplinami pokrewnymi, zwłaszcza literaturoznawstwem, językoznawstwem, historią, naukami społecznymi i politycznymi,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W04: zna podstawowe metody analizy i interpretacji różnych zjawisk i wytworów kultury niemieckiej,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U05: potrafi wyszukiwać, selekcjonować, analizować, oceniać i użytkować wiedzę z zakresu kulturoznawstwa z wykorzystaniem różnych źródeł i metod,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U06: potrafi zastosować elementarne zasady i procedury badawcze, formułować i analizować problemy, dobrać odpowiednie narzędzia, formułować wnioski, opracować i zaprezentować rezultaty pracy w zakresie kulturoznawstwa germanistycznego,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U07: potrafi samodzielnie zdobywać wiedzę i rozwijać umiejętności badawcze w zakresie kulturoznawstwa, wykorzystując wskazówki opiekuna naukowego i literaturę przedmiotu,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U08: potrafi posługiwać się podstawowymi narzędziami badawczymi wypracowanymi na gruncie germanistyki interkulturowej i pojęciami dla niej właściwymi,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K09: potrafi pracować w zespole, przyjmując w nim różne role, dzieli się posiadaną wiedzą i umiejętnościami,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K10: umie odpowiednio określić priorytety służące realizacji zadań; potrafi gospodarować czasem i realizować określone zadania w wyznaczonych terminach.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lastRenderedPageBreak/>
              <w:t>Symbole kierunkowych efektów kształcenia: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K_W01+++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tabs>
                <w:tab w:val="left" w:pos="1272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K_W02+++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K_W03+++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K_W04++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K_W06++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K_U01+++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K_U02+++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K_U03+++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 K_U04++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K_K02+++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K_K03+++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BA7" w:rsidRPr="00056FA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Treści programowe:</w:t>
            </w:r>
          </w:p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Wykład: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kulturoznawstwo w germanistyce – podstawowe pojęcia i metody  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dzieje kultury niemieckiej, austriackiej i szwajcarskiej na wybranych przykładach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aktualna oferta kulturalna z elementami menedżerstwa kultury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kultura pamięci w krajach niemieckojęzycznych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tożsamość kulturowa Niemców, Austriaków i Szwajcarów w aspekcie historycznym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aktualna debata tożsamościowa w Niemczech, Austrii i Szwajcarii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stosunki kulturowe Polski z krajami niemieckiego obszaru językowego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stereotypy w stosunkach polsko-niemieckich 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- Śląsk jako fenomen kultury europejskiej 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tożsamość europejska –  próba definicji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Ćwiczenia: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terminologia, metodologia oraz historia i trendy rozwojowe kulturoznawstwa germanistycznego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źródła informacji  o kulturze krajów obszaru niemieckojęzycznego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uwarunkowania geopolityczne, społeczne i kulturowe krajów niemieckojęzycznych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paradygmaty i miejsca pamięci kulturowej w krajach niemieckojęzycznych i na Śląsku na przestrzeni wieków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transfer kulturowy: procesy kształtujące związki interkulturowe w krajach obszaru niemieckojęzycznego i na Śląsku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związki kulturowe między Polską a krajami obszaru niemieckojęzycznego w ujęciu synchronicznym i diachronicznym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problematyka tożsamości regionalnej, narodowej i europejskiej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mity, stereotypy i socjotechnika przekazu medialnego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przełomowe wydarzenia w historii kultury krajów niemieckojęzycznych i Śląska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analiza i interpretacja różnych zjawisk i wytworów kultury niemieckiej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lastRenderedPageBreak/>
              <w:t>W ramach ćwiczeń studenci mają wybór osoby prowadzącej zajęcia. Szczegółowe treści programowe i</w:t>
            </w:r>
            <w:r w:rsidR="00F905CA">
              <w:rPr>
                <w:rFonts w:ascii="Tahoma" w:hAnsi="Tahoma" w:cs="Tahoma"/>
                <w:sz w:val="20"/>
                <w:szCs w:val="20"/>
              </w:rPr>
              <w:t>ch zajęć</w:t>
            </w:r>
            <w:r w:rsidRPr="00056FA2">
              <w:rPr>
                <w:rFonts w:ascii="Tahoma" w:hAnsi="Tahoma" w:cs="Tahoma"/>
                <w:sz w:val="20"/>
                <w:szCs w:val="20"/>
              </w:rPr>
              <w:t xml:space="preserve"> będą upubliczniane przed zapisami na zajęcia w </w:t>
            </w:r>
            <w:proofErr w:type="spellStart"/>
            <w:r w:rsidRPr="00056FA2">
              <w:rPr>
                <w:rFonts w:ascii="Tahoma" w:hAnsi="Tahoma" w:cs="Tahoma"/>
                <w:sz w:val="20"/>
                <w:szCs w:val="20"/>
              </w:rPr>
              <w:t>USOSweb</w:t>
            </w:r>
            <w:proofErr w:type="spellEnd"/>
            <w:r w:rsidRPr="00056FA2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DF1BA7" w:rsidRPr="00056FA2" w:rsidRDefault="00DF1BA7" w:rsidP="00626671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BA7" w:rsidRPr="00ED2142" w:rsidTr="00626671">
        <w:trPr>
          <w:gridBefore w:val="1"/>
          <w:gridAfter w:val="1"/>
          <w:wBefore w:w="60" w:type="dxa"/>
          <w:wAfter w:w="394" w:type="dxa"/>
        </w:trPr>
        <w:tc>
          <w:tcPr>
            <w:tcW w:w="0" w:type="auto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gridSpan w:val="2"/>
          </w:tcPr>
          <w:p w:rsidR="00DF1BA7" w:rsidRPr="00056FA2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  <w:proofErr w:type="spellStart"/>
            <w:r w:rsidRPr="00056FA2">
              <w:rPr>
                <w:rFonts w:ascii="Tahoma" w:hAnsi="Tahoma" w:cs="Tahoma"/>
                <w:sz w:val="20"/>
                <w:szCs w:val="20"/>
                <w:lang w:val="de-DE"/>
              </w:rPr>
              <w:t>Zalecana</w:t>
            </w:r>
            <w:proofErr w:type="spellEnd"/>
            <w:r w:rsidRPr="00056FA2">
              <w:rPr>
                <w:rFonts w:ascii="Tahoma" w:hAnsi="Tahoma" w:cs="Tahom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56FA2">
              <w:rPr>
                <w:rFonts w:ascii="Tahoma" w:hAnsi="Tahoma" w:cs="Tahoma"/>
                <w:sz w:val="20"/>
                <w:szCs w:val="20"/>
                <w:lang w:val="de-DE"/>
              </w:rPr>
              <w:t>literatura</w:t>
            </w:r>
            <w:proofErr w:type="spellEnd"/>
            <w:r w:rsidRPr="00056FA2">
              <w:rPr>
                <w:rFonts w:ascii="Tahoma" w:hAnsi="Tahoma" w:cs="Tahoma"/>
                <w:sz w:val="20"/>
                <w:szCs w:val="20"/>
                <w:lang w:val="de-DE"/>
              </w:rPr>
              <w:t>:</w:t>
            </w:r>
          </w:p>
          <w:p w:rsidR="00DF1BA7" w:rsidRDefault="00DF1BA7" w:rsidP="0062667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val="de-DE"/>
              </w:rPr>
            </w:pP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Bingen, Dieter;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Hałub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Marek; Weber, Matthias: Mein Polen - meine Polen. Zugänge &amp; Sichtweisen, Wiesbaden 2016.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Brix, Emil;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Brückmüller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, Ernst;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Stekl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, Hannes (red.):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Memoria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Austriae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t. 1-3, Wien 2004-2005.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Czapliński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Marek; Hahn, Hans-Joachim; Weger, Tobias (red.): Schlesische Erinnerungsorte, Görlitz 2005.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Demandt, Alexander: Über die Deutschen. Eine kleine Kulturgeschichte, Berlin 2009.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Francois, Etienne; Schulze, Hagen (red.): Deutsche Erinnerungsorte, t.1 -3, München 2001, 2002, 2003, 2005.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Hahn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Hans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Henning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: Stereotypy – tożsamość – konteksty, Poznań 2011.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Hahn, Hans Henning;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Traba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Robert (red.): Deutsch-polnische Erinnerungsorte, t.1-4 , Paderborn 2012, 2013, 2014, 2015.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Hałub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Marek (red.): Ausgewählte Quellen im Diskursfeld „Identitäten”. Deutschland, Wrocław 2009.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Herzig, Arno: Schlesien. Das Land und seine Geschichte in Bildern, Texten und Dokumenten, Hamburg 2008/ </w:t>
            </w:r>
            <w:proofErr w:type="spellStart"/>
            <w:r w:rsidRPr="00A84A9D">
              <w:rPr>
                <w:rFonts w:ascii="Tahoma" w:hAnsi="Tahoma" w:cs="Tahoma"/>
                <w:sz w:val="20"/>
                <w:szCs w:val="20"/>
                <w:lang w:val="de-DE"/>
              </w:rPr>
              <w:t>Śląsk</w:t>
            </w:r>
            <w:proofErr w:type="spellEnd"/>
            <w:r w:rsidRPr="00A84A9D">
              <w:rPr>
                <w:rFonts w:ascii="Tahoma" w:hAnsi="Tahoma" w:cs="Tahoma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A84A9D">
              <w:rPr>
                <w:rFonts w:ascii="Tahoma" w:hAnsi="Tahoma" w:cs="Tahoma"/>
                <w:sz w:val="20"/>
                <w:szCs w:val="20"/>
                <w:lang w:val="de-DE"/>
              </w:rPr>
              <w:t>jego</w:t>
            </w:r>
            <w:proofErr w:type="spellEnd"/>
            <w:r w:rsidRPr="00A84A9D">
              <w:rPr>
                <w:rFonts w:ascii="Tahoma" w:hAnsi="Tahoma" w:cs="Tahom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84A9D">
              <w:rPr>
                <w:rFonts w:ascii="Tahoma" w:hAnsi="Tahoma" w:cs="Tahoma"/>
                <w:sz w:val="20"/>
                <w:szCs w:val="20"/>
                <w:lang w:val="de-DE"/>
              </w:rPr>
              <w:t>dzieje</w:t>
            </w:r>
            <w:proofErr w:type="spellEnd"/>
            <w:r w:rsidRPr="00A84A9D">
              <w:rPr>
                <w:rFonts w:ascii="Tahoma" w:hAnsi="Tahoma" w:cs="Tahoma"/>
                <w:sz w:val="20"/>
                <w:szCs w:val="20"/>
                <w:lang w:val="de-DE"/>
              </w:rPr>
              <w:t>, Wrocław 2012.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- Jabłkowska, Joanna; Żyliński, Leszek (red.): O kondycji Niemiec. Tożsamość niemiecka w debatach intelektualistów po 1945 roku, Poznań 2008.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>- Karolak, Czesław; Kunicki, Wojciech; Orłowski, Hubert: Dzieje kultury niemieckiej, Warszawa 2006, 2016.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Komorowski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Dariusz (red.): Ausgewählte Quellen im Diskursfeld „Identitäten“. Die Schweiz, Wrocław 2009.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Kreis, Georg: Schweizer Erinnerungsorte, Zürich 2010.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Lammert, Norbert (red.): Verfassung, Patriotismus, Leitkultur. Was unsere Gesellschaft zusammenhält, Hamburg 2006.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Landwehr, Achim;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Stockhorst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Stefanie: Einführung in die Europäische Kulturgeschichte, Paderborn-München-Wien-Zürich 2004.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Lawaty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, Andreas;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Orłowski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Hubert (red.): Deutsche und Polen. Geschichte, Kultur, Politik, München 2003.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Maissen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Thomas: Geschichte der Schweiz, Baden 2010.</w:t>
            </w:r>
          </w:p>
          <w:p w:rsidR="00A84A9D" w:rsidRPr="00A84A9D" w:rsidRDefault="00A84A9D" w:rsidP="00A84A9D">
            <w:pPr>
              <w:shd w:val="clear" w:color="auto" w:fill="FFFFFF"/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>Nitszke</w:t>
            </w:r>
            <w:proofErr w:type="spellEnd"/>
            <w:r w:rsidRPr="00A84A9D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>, Agnieszka: </w:t>
            </w:r>
            <w:r w:rsidRPr="00A84A9D">
              <w:rPr>
                <w:rFonts w:ascii="Tahoma" w:hAnsi="Tahoma" w:cs="Tahoma"/>
                <w:iCs/>
                <w:color w:val="222222"/>
                <w:sz w:val="20"/>
                <w:szCs w:val="20"/>
                <w:lang w:eastAsia="pl-PL"/>
              </w:rPr>
              <w:t>Naturalnie neutralna. Polityka zagraniczna Konfederacji Szwajcarskiej w XXI wieku</w:t>
            </w:r>
            <w:r w:rsidRPr="00A84A9D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>, Kraków 2014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Nünning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Ansgar (red.): Grundbegriffe der Kulturtheorie und Kulturwissenschaften, Stuttgart - Weimar 2005.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sz w:val="20"/>
                <w:szCs w:val="20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- </w:t>
            </w:r>
            <w:r w:rsidRPr="00A84A9D">
              <w:rPr>
                <w:rFonts w:ascii="Tahoma" w:hAnsi="Tahoma" w:cs="Tahoma"/>
                <w:sz w:val="20"/>
                <w:szCs w:val="20"/>
              </w:rPr>
              <w:t>Popławski, Dariusz (red.): Państwa niemieckojęzyczne w procesie integracji  europejskiej. Austria, Liechtenstein, Szwajcaria,  Warszawa 2012.</w:t>
            </w:r>
          </w:p>
          <w:p w:rsidR="00A84A9D" w:rsidRPr="00A84A9D" w:rsidRDefault="00A84A9D" w:rsidP="00A84A9D">
            <w:pPr>
              <w:shd w:val="clear" w:color="auto" w:fill="FFFFFF"/>
              <w:spacing w:after="0" w:line="240" w:lineRule="auto"/>
              <w:rPr>
                <w:rFonts w:ascii="Tahoma" w:hAnsi="Tahoma" w:cs="Tahoma"/>
                <w:color w:val="222222"/>
                <w:sz w:val="20"/>
                <w:szCs w:val="20"/>
                <w:lang w:val="de-DE" w:eastAsia="pl-PL"/>
              </w:rPr>
            </w:pPr>
            <w:r w:rsidRPr="00A84A9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ED5CE6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>Porębski</w:t>
            </w:r>
            <w:r w:rsidRPr="00A84A9D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 xml:space="preserve">, </w:t>
            </w:r>
            <w:r w:rsidRPr="00ED5CE6">
              <w:rPr>
                <w:rFonts w:ascii="Tahoma" w:hAnsi="Tahoma" w:cs="Tahoma"/>
                <w:color w:val="222222"/>
                <w:sz w:val="20"/>
                <w:szCs w:val="20"/>
                <w:lang w:eastAsia="pl-PL"/>
              </w:rPr>
              <w:t xml:space="preserve">Andrzej: Wielokulturowość Szwajcarii na rozdrożu. </w:t>
            </w:r>
            <w:r w:rsidRPr="00ED5CE6">
              <w:rPr>
                <w:rFonts w:ascii="Tahoma" w:hAnsi="Tahoma" w:cs="Tahoma"/>
                <w:color w:val="222222"/>
                <w:sz w:val="20"/>
                <w:szCs w:val="20"/>
                <w:lang w:val="de-DE" w:eastAsia="pl-PL"/>
              </w:rPr>
              <w:t>Kraków 2010.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Puchalski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Lucjan (red.): Ausgewählte Quellen im Diskursfeld „Identitäten“. Österreich, Wrocław 2009.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- Rauscher, Hans: Das Buch Österreich. Texte, die man kennen muss, Wien 2005.</w:t>
            </w:r>
          </w:p>
          <w:p w:rsidR="00A84A9D" w:rsidRP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Schildt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Axel; Siegfried, Detlef: Deutsche Kulturgeschichte. Die Bundesrepublik - 1945 bis zur Gegenwart, München 2009.</w:t>
            </w:r>
          </w:p>
          <w:p w:rsidR="00A84A9D" w:rsidRDefault="00A84A9D" w:rsidP="00A84A9D">
            <w:pPr>
              <w:pStyle w:val="NormalnyWeb"/>
              <w:spacing w:before="0" w:beforeAutospacing="0" w:after="72" w:afterAutospacing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Wierlacher</w:t>
            </w:r>
            <w:proofErr w:type="spellEnd"/>
            <w:r w:rsidRPr="00A84A9D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, Alois; Bogner, Andrea (red.): Handbuch interkulturelle Germanistik, Stuttgart 2003.</w:t>
            </w:r>
          </w:p>
          <w:p w:rsidR="00ED2142" w:rsidRPr="00ED2142" w:rsidRDefault="00ED2142" w:rsidP="00ED2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025D7">
              <w:rPr>
                <w:rFonts w:ascii="Tahoma" w:hAnsi="Tahoma" w:cs="Tahoma"/>
                <w:color w:val="222222"/>
                <w:sz w:val="20"/>
                <w:szCs w:val="20"/>
                <w:shd w:val="clear" w:color="auto" w:fill="FFFFFF"/>
              </w:rPr>
              <w:t xml:space="preserve">- Winkler Heinrich August: </w:t>
            </w:r>
            <w:r w:rsidRPr="00ED2142">
              <w:rPr>
                <w:rFonts w:ascii="Tahoma" w:hAnsi="Tahoma" w:cs="Tahoma"/>
                <w:color w:val="222222"/>
                <w:sz w:val="20"/>
                <w:szCs w:val="20"/>
                <w:shd w:val="clear" w:color="auto" w:fill="FFFFFF"/>
              </w:rPr>
              <w:t>Długa droga na Zachód. Dzieje Niemiec,</w:t>
            </w:r>
            <w:r w:rsidRPr="00E025D7">
              <w:rPr>
                <w:rFonts w:ascii="Tahoma" w:hAnsi="Tahoma" w:cs="Tahoma"/>
                <w:color w:val="222222"/>
                <w:sz w:val="20"/>
                <w:szCs w:val="20"/>
                <w:shd w:val="clear" w:color="auto" w:fill="FFFFFF"/>
              </w:rPr>
              <w:t xml:space="preserve"> t. 1: </w:t>
            </w:r>
            <w:r w:rsidRPr="00ED2142">
              <w:rPr>
                <w:rFonts w:ascii="Tahoma" w:hAnsi="Tahoma" w:cs="Tahoma"/>
                <w:color w:val="222222"/>
                <w:sz w:val="20"/>
                <w:szCs w:val="20"/>
                <w:shd w:val="clear" w:color="auto" w:fill="FFFFFF"/>
              </w:rPr>
              <w:t>Dzieje</w:t>
            </w:r>
            <w:r w:rsidRPr="00ED2142">
              <w:rPr>
                <w:rFonts w:ascii="Tahoma" w:hAnsi="Tahoma" w:cs="Tahoma"/>
                <w:color w:val="222222"/>
                <w:sz w:val="20"/>
                <w:szCs w:val="20"/>
              </w:rPr>
              <w:t xml:space="preserve"> </w:t>
            </w:r>
            <w:r w:rsidRPr="00ED2142">
              <w:rPr>
                <w:rFonts w:ascii="Tahoma" w:hAnsi="Tahoma" w:cs="Tahoma"/>
                <w:color w:val="222222"/>
                <w:sz w:val="20"/>
                <w:szCs w:val="20"/>
                <w:shd w:val="clear" w:color="auto" w:fill="FFFFFF"/>
              </w:rPr>
              <w:t>Niemiec 1806-1933, t. 2: Dzieje Niemiec 1933-1990, Wrocław 2007.</w:t>
            </w:r>
            <w:r w:rsidRPr="00ED214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F1BA7" w:rsidRPr="00ED2142" w:rsidRDefault="00DF1BA7" w:rsidP="00A84A9D">
            <w:pPr>
              <w:pStyle w:val="NoSpacing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Forma zaliczenia poszczególnych komponentów przedmiotu/modułu, sposób sprawdzenia osiągnięcia zamierzonych efektów kształcenia: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K_W01: sprawdzian pisemny, egzamin ustny, dyskusja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K_W02: aktywność w trakcie zajęć, sprawdzian pisemny, egzamin ustny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K_W03: aktywność w trakcie zajęć, sprawdzian pisemny, egzamin ustny 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K_W04: aktywność w trakcie zajęć, sprawdzian pisemny, egzamin ustny, dyskusja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</w:t>
            </w:r>
            <w:r w:rsidRPr="00056FA2">
              <w:rPr>
                <w:rFonts w:ascii="Tahoma" w:hAnsi="Tahoma" w:cs="Tahoma"/>
                <w:sz w:val="20"/>
                <w:szCs w:val="20"/>
              </w:rPr>
              <w:softHyphen/>
            </w:r>
            <w:r w:rsidRPr="00056FA2">
              <w:rPr>
                <w:rFonts w:ascii="Tahoma" w:hAnsi="Tahoma" w:cs="Tahoma"/>
                <w:sz w:val="20"/>
                <w:szCs w:val="20"/>
              </w:rPr>
              <w:softHyphen/>
            </w:r>
            <w:r w:rsidRPr="00056FA2">
              <w:rPr>
                <w:rFonts w:ascii="Tahoma" w:hAnsi="Tahoma" w:cs="Tahoma"/>
                <w:sz w:val="20"/>
                <w:szCs w:val="20"/>
              </w:rPr>
              <w:softHyphen/>
            </w:r>
            <w:r w:rsidRPr="00056FA2">
              <w:rPr>
                <w:rFonts w:ascii="Tahoma" w:hAnsi="Tahoma" w:cs="Tahoma"/>
                <w:sz w:val="20"/>
                <w:szCs w:val="20"/>
              </w:rPr>
              <w:softHyphen/>
              <w:t>_W06: aktywność w trakcie zajęć, sprawdzian pisemny, egzamin ustny, dyskusja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K_U01: praca domowa w formie pisemnej lub ustnej, dyskusja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</w:t>
            </w:r>
            <w:r w:rsidRPr="00056FA2">
              <w:rPr>
                <w:rFonts w:ascii="Tahoma" w:hAnsi="Tahoma" w:cs="Tahoma"/>
                <w:sz w:val="20"/>
                <w:szCs w:val="20"/>
              </w:rPr>
              <w:softHyphen/>
              <w:t xml:space="preserve">_U02: aktywność w trakcie zajęć, praca domowa w formie pisemnej lub ustnej, dyskusja 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K_U03: aktywność w trakcie zajęć, praca domowa w formie pisemnej lub ustnej, dyskusja 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K_U04: aktywność w trakcie zajęć, praca domowa w formie pisemnej lub ustnej, dyskusja 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K_K02: praca domowa w formie pisemnej lub ustnej, dyskusja</w:t>
            </w:r>
          </w:p>
          <w:p w:rsidR="00DF1BA7" w:rsidRPr="00056FA2" w:rsidRDefault="00DF1BA7" w:rsidP="00626671">
            <w:pPr>
              <w:tabs>
                <w:tab w:val="left" w:pos="1272"/>
              </w:tabs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K_K03: sprawdzian pisemny, praca domowa w formie pisemnej lub ustnej, egzamin ustny </w:t>
            </w:r>
          </w:p>
          <w:p w:rsidR="00DF1BA7" w:rsidRPr="00056FA2" w:rsidRDefault="00DF1BA7" w:rsidP="00626671">
            <w:pPr>
              <w:tabs>
                <w:tab w:val="left" w:pos="1272"/>
              </w:tabs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tabs>
                <w:tab w:val="left" w:pos="1272"/>
              </w:tabs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Warunkiem przystąpienia do egzaminu jest zaliczenie ćwiczeń na ocenę pozytywną. Do zaliczenia modułu konieczne jest uzyskanie pozytywnych ocen cząstkowych (za ćwiczenia i za egzamin). Ostateczna ocena za moduł jest średnią ważoną obu ocen w proporcjach: 30% (ćwiczenia) oraz 70% (egzamin).</w:t>
            </w:r>
          </w:p>
          <w:p w:rsidR="00DF1BA7" w:rsidRPr="00056FA2" w:rsidRDefault="00DF1BA7" w:rsidP="00626671">
            <w:pPr>
              <w:tabs>
                <w:tab w:val="left" w:pos="1272"/>
              </w:tabs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18.</w:t>
            </w: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Język wykładowy: niemiecki, polski</w:t>
            </w: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15"/>
        </w:trPr>
        <w:tc>
          <w:tcPr>
            <w:tcW w:w="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 xml:space="preserve">19. </w:t>
            </w:r>
          </w:p>
        </w:tc>
        <w:tc>
          <w:tcPr>
            <w:tcW w:w="9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Obciążenie pracą studenta</w:t>
            </w: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50"/>
        </w:trPr>
        <w:tc>
          <w:tcPr>
            <w:tcW w:w="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Forma aktywności studenta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Średnia liczba godzin na zrealizowanie aktywności</w:t>
            </w: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05"/>
        </w:trPr>
        <w:tc>
          <w:tcPr>
            <w:tcW w:w="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Godziny zajęć (wg planu studiów) z nauczycielem: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wykład: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ćwiczenia:</w:t>
            </w:r>
          </w:p>
        </w:tc>
        <w:tc>
          <w:tcPr>
            <w:tcW w:w="2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56FA2">
              <w:rPr>
                <w:rFonts w:ascii="Tahoma" w:hAnsi="Tahoma" w:cs="Tahoma"/>
                <w:b/>
                <w:sz w:val="20"/>
                <w:szCs w:val="20"/>
              </w:rPr>
              <w:t>30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56FA2">
              <w:rPr>
                <w:rFonts w:ascii="Tahoma" w:hAnsi="Tahoma" w:cs="Tahoma"/>
                <w:b/>
                <w:sz w:val="20"/>
                <w:szCs w:val="20"/>
              </w:rPr>
              <w:t>30</w:t>
            </w: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35"/>
        </w:trPr>
        <w:tc>
          <w:tcPr>
            <w:tcW w:w="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Praca własna studenta: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przygotowanie do zajęć (np. sprawdzian cząstkowy)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czytanie wskazanej literatury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- przygotowanie do egzaminu</w:t>
            </w:r>
          </w:p>
        </w:tc>
        <w:tc>
          <w:tcPr>
            <w:tcW w:w="2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56FA2">
              <w:rPr>
                <w:rFonts w:ascii="Tahoma" w:hAnsi="Tahoma" w:cs="Tahoma"/>
                <w:b/>
                <w:sz w:val="20"/>
                <w:szCs w:val="20"/>
              </w:rPr>
              <w:t>120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40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40</w:t>
            </w:r>
          </w:p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54"/>
        </w:trPr>
        <w:tc>
          <w:tcPr>
            <w:tcW w:w="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Suma godzin</w:t>
            </w:r>
          </w:p>
        </w:tc>
        <w:tc>
          <w:tcPr>
            <w:tcW w:w="2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180</w:t>
            </w:r>
          </w:p>
        </w:tc>
      </w:tr>
      <w:tr w:rsidR="00DF1BA7" w:rsidRPr="00056FA2" w:rsidTr="006266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0"/>
        </w:trPr>
        <w:tc>
          <w:tcPr>
            <w:tcW w:w="5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napToGri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Liczba punktów ECTS</w:t>
            </w:r>
          </w:p>
        </w:tc>
        <w:tc>
          <w:tcPr>
            <w:tcW w:w="2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A7" w:rsidRPr="00056FA2" w:rsidRDefault="00DF1BA7" w:rsidP="00626671">
            <w:pPr>
              <w:autoSpaceDE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6FA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DF1BA7" w:rsidRPr="00056FA2" w:rsidRDefault="00DF1BA7" w:rsidP="00C11603">
      <w:pPr>
        <w:autoSpaceDE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F1BA7" w:rsidRPr="00056FA2" w:rsidRDefault="00DF1BA7">
      <w:pPr>
        <w:rPr>
          <w:rFonts w:ascii="Tahoma" w:hAnsi="Tahoma" w:cs="Tahoma"/>
          <w:sz w:val="20"/>
          <w:szCs w:val="20"/>
        </w:rPr>
      </w:pPr>
    </w:p>
    <w:sectPr w:rsidR="00DF1BA7" w:rsidRPr="00056FA2" w:rsidSect="00A4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E0125"/>
    <w:rsid w:val="000036EF"/>
    <w:rsid w:val="00046A28"/>
    <w:rsid w:val="00056FA2"/>
    <w:rsid w:val="001428A1"/>
    <w:rsid w:val="00240BA2"/>
    <w:rsid w:val="00286B85"/>
    <w:rsid w:val="002A2F98"/>
    <w:rsid w:val="00345366"/>
    <w:rsid w:val="0035196C"/>
    <w:rsid w:val="00431096"/>
    <w:rsid w:val="00446D04"/>
    <w:rsid w:val="0045679A"/>
    <w:rsid w:val="00485BD3"/>
    <w:rsid w:val="004A537F"/>
    <w:rsid w:val="004E15C5"/>
    <w:rsid w:val="004F3539"/>
    <w:rsid w:val="005300B4"/>
    <w:rsid w:val="00583E1B"/>
    <w:rsid w:val="00591AD3"/>
    <w:rsid w:val="005E5084"/>
    <w:rsid w:val="00626671"/>
    <w:rsid w:val="00675E9C"/>
    <w:rsid w:val="007E0125"/>
    <w:rsid w:val="007F09E2"/>
    <w:rsid w:val="00826CB3"/>
    <w:rsid w:val="008A294E"/>
    <w:rsid w:val="00910074"/>
    <w:rsid w:val="00A2354A"/>
    <w:rsid w:val="00A40732"/>
    <w:rsid w:val="00A84A9D"/>
    <w:rsid w:val="00AB742A"/>
    <w:rsid w:val="00AD31AB"/>
    <w:rsid w:val="00AF3BDC"/>
    <w:rsid w:val="00B17C26"/>
    <w:rsid w:val="00B86CBE"/>
    <w:rsid w:val="00B9398E"/>
    <w:rsid w:val="00BE1D7E"/>
    <w:rsid w:val="00C07057"/>
    <w:rsid w:val="00C11603"/>
    <w:rsid w:val="00C439A0"/>
    <w:rsid w:val="00CB303B"/>
    <w:rsid w:val="00D55DD3"/>
    <w:rsid w:val="00D80646"/>
    <w:rsid w:val="00DD183A"/>
    <w:rsid w:val="00DE4006"/>
    <w:rsid w:val="00DF1BA7"/>
    <w:rsid w:val="00DF5238"/>
    <w:rsid w:val="00E03F8D"/>
    <w:rsid w:val="00ED2142"/>
    <w:rsid w:val="00F54BBB"/>
    <w:rsid w:val="00F905CA"/>
    <w:rsid w:val="00FC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40732"/>
    <w:pPr>
      <w:spacing w:after="200" w:line="20" w:lineRule="atLeast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NoSpacing">
    <w:name w:val="No Spacing"/>
    <w:rsid w:val="00C11603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84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1407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Leszek</dc:creator>
  <cp:lastModifiedBy>Anna Małgorzewicz</cp:lastModifiedBy>
  <cp:revision>2</cp:revision>
  <dcterms:created xsi:type="dcterms:W3CDTF">2017-07-16T14:17:00Z</dcterms:created>
  <dcterms:modified xsi:type="dcterms:W3CDTF">2017-07-16T14:17:00Z</dcterms:modified>
</cp:coreProperties>
</file>