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do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5253"/>
        <w:gridCol w:w="781"/>
        <w:gridCol w:w="3247"/>
      </w:tblGrid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B01973" w:rsidRPr="000C0EC3" w:rsidRDefault="00E3385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0C0EC3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0C0EC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  <w:r w:rsidR="00AF4834">
              <w:rPr>
                <w:rFonts w:ascii="Verdana" w:hAnsi="Verdana"/>
                <w:sz w:val="20"/>
                <w:szCs w:val="20"/>
              </w:rPr>
              <w:t>: językoznawstwo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B01973" w:rsidRPr="000C0EC3" w:rsidRDefault="00AF4834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D7A0B">
              <w:rPr>
                <w:rFonts w:ascii="Tahoma" w:hAnsi="Tahoma" w:cs="Tahoma"/>
                <w:sz w:val="20"/>
                <w:szCs w:val="20"/>
              </w:rPr>
              <w:t>j</w:t>
            </w:r>
            <w:r>
              <w:rPr>
                <w:rFonts w:ascii="Tahoma" w:hAnsi="Tahoma" w:cs="Tahoma"/>
                <w:sz w:val="20"/>
                <w:szCs w:val="20"/>
              </w:rPr>
              <w:t>ęzyk</w:t>
            </w:r>
            <w:r w:rsidRPr="00FD7A0B">
              <w:rPr>
                <w:rFonts w:ascii="Tahoma" w:hAnsi="Tahoma" w:cs="Tahoma"/>
                <w:sz w:val="20"/>
                <w:szCs w:val="20"/>
              </w:rPr>
              <w:t xml:space="preserve"> niemiecki, j</w:t>
            </w:r>
            <w:r>
              <w:rPr>
                <w:rFonts w:ascii="Tahoma" w:hAnsi="Tahoma" w:cs="Tahoma"/>
                <w:sz w:val="20"/>
                <w:szCs w:val="20"/>
              </w:rPr>
              <w:t>ęzyk</w:t>
            </w:r>
            <w:r w:rsidRPr="00FD7A0B">
              <w:rPr>
                <w:rFonts w:ascii="Tahoma" w:hAnsi="Tahoma" w:cs="Tahoma"/>
                <w:sz w:val="20"/>
                <w:szCs w:val="20"/>
              </w:rPr>
              <w:t xml:space="preserve"> polski</w:t>
            </w: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01973" w:rsidRPr="000C0EC3" w:rsidRDefault="008A262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Instytut Filologii Germańskiej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B01973" w:rsidRPr="000C0EC3" w:rsidRDefault="00E9091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AF4834">
              <w:rPr>
                <w:rFonts w:ascii="Verdana" w:hAnsi="Verdana"/>
                <w:sz w:val="20"/>
                <w:szCs w:val="20"/>
              </w:rPr>
              <w:t>bowiązkowy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</w:p>
          <w:p w:rsidR="00B01973" w:rsidRPr="000C0EC3" w:rsidRDefault="00AF4834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</w:p>
          <w:p w:rsidR="00B01973" w:rsidRPr="000C0EC3" w:rsidRDefault="00AF4834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B01973" w:rsidRPr="000C0EC3" w:rsidRDefault="00E90915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AF4834">
              <w:rPr>
                <w:rFonts w:ascii="Verdana" w:hAnsi="Verdana"/>
                <w:sz w:val="20"/>
                <w:szCs w:val="20"/>
              </w:rPr>
              <w:t>imowy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32D4B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2D4B">
              <w:rPr>
                <w:rFonts w:ascii="Verdana" w:hAnsi="Verdana"/>
                <w:sz w:val="20"/>
                <w:szCs w:val="20"/>
              </w:rPr>
              <w:t>Forma zajęć i liczba godzin</w:t>
            </w:r>
            <w:r w:rsidR="00AF4834" w:rsidRPr="00032D4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AF4834" w:rsidRPr="00032D4B">
              <w:rPr>
                <w:rFonts w:ascii="Tahoma" w:hAnsi="Tahoma" w:cs="Tahoma"/>
                <w:sz w:val="20"/>
                <w:szCs w:val="20"/>
              </w:rPr>
              <w:t>konwersatorium, 30 godzin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32D4B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0C0EC3" w:rsidRPr="00032D4B">
              <w:rPr>
                <w:rFonts w:ascii="Verdana" w:hAnsi="Verdana"/>
                <w:sz w:val="20"/>
                <w:szCs w:val="20"/>
              </w:rPr>
              <w:t>uczenia się</w:t>
            </w:r>
            <w:r w:rsidR="00B153CB" w:rsidRPr="00032D4B">
              <w:rPr>
                <w:rFonts w:ascii="Verdana" w:hAnsi="Verdana"/>
                <w:sz w:val="20"/>
                <w:szCs w:val="20"/>
              </w:rPr>
              <w:t>:</w:t>
            </w:r>
            <w:r w:rsidR="00B153C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32D4B">
              <w:rPr>
                <w:rFonts w:ascii="Verdana" w:hAnsi="Verdana"/>
                <w:sz w:val="20"/>
                <w:szCs w:val="20"/>
              </w:rPr>
              <w:t xml:space="preserve">wykład, praca z tekstem, opracowanie zagadnienia, 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32D4B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32D4B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2D4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032D4B" w:rsidRPr="00032D4B" w:rsidRDefault="00032D4B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32D4B">
              <w:rPr>
                <w:rFonts w:ascii="Verdana" w:hAnsi="Verdana"/>
                <w:sz w:val="20"/>
                <w:szCs w:val="20"/>
              </w:rPr>
              <w:t>dr hab. Józef Jarosz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32D4B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32D4B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B01973" w:rsidRPr="00B153CB" w:rsidRDefault="00032D4B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032D4B">
              <w:rPr>
                <w:rFonts w:ascii="Verdana" w:hAnsi="Verdana"/>
                <w:sz w:val="20"/>
                <w:szCs w:val="20"/>
              </w:rPr>
              <w:t>chęć realizowania specjalizacji skandynawistycznej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27E2E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032D4B" w:rsidRPr="00032D4B" w:rsidRDefault="00032D4B" w:rsidP="00032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Celem zajęć jest wprowadzenie w problematykę badań skandynawistycznych</w:t>
            </w:r>
            <w:r w:rsidR="00B27E2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sensu largo.</w:t>
            </w:r>
          </w:p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72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D2EAA" w:rsidRDefault="00B01973" w:rsidP="00B153CB">
            <w:pPr>
              <w:spacing w:after="120" w:line="240" w:lineRule="auto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0D2EAA">
              <w:rPr>
                <w:rFonts w:ascii="Verdana" w:hAnsi="Verdana"/>
                <w:color w:val="000000" w:themeColor="text1"/>
                <w:sz w:val="20"/>
                <w:szCs w:val="20"/>
              </w:rPr>
              <w:t>Treści programowe</w:t>
            </w:r>
          </w:p>
          <w:p w:rsidR="000D2EAA" w:rsidRDefault="000D2EAA" w:rsidP="000D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D2E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Skandynawistyka jako dziedzina – podział na subdyscypliny, obecność na uniwersytetach, czasopisma, konferencje</w:t>
            </w:r>
            <w:r w:rsidR="00985D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 in.</w:t>
            </w:r>
          </w:p>
          <w:p w:rsidR="00FD5E45" w:rsidRPr="000D2EAA" w:rsidRDefault="00FD5E45" w:rsidP="000D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Europa Północna – region, kraje, narody, języki</w:t>
            </w:r>
          </w:p>
          <w:p w:rsidR="000D2EAA" w:rsidRPr="000D2EAA" w:rsidRDefault="00FD5E45" w:rsidP="000D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0D2EAA" w:rsidRPr="000D2E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Pismo runiczne – typologia, zasięg geograficzny, główne zabytki</w:t>
            </w:r>
          </w:p>
          <w:p w:rsidR="000D2EAA" w:rsidRPr="000D2EAA" w:rsidRDefault="00FD5E45" w:rsidP="000D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0D2EAA" w:rsidRPr="000D2E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Zabytki skandynawskiego średniowiecza – fenomen kultury na peryferiach Europy</w:t>
            </w:r>
          </w:p>
          <w:p w:rsidR="000D2EAA" w:rsidRPr="000D2EAA" w:rsidRDefault="00FD5E45" w:rsidP="000D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0D2EAA" w:rsidRPr="000D2E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Mitologia nordycka i jej dzisiejsza recepcja </w:t>
            </w:r>
          </w:p>
          <w:p w:rsidR="000D2EAA" w:rsidRPr="000D2EAA" w:rsidRDefault="00FD5E45" w:rsidP="000D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0D2EAA" w:rsidRPr="000D2E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Typologia i periodyzacja dziejów języków skandynawskich</w:t>
            </w:r>
          </w:p>
          <w:p w:rsidR="000D2EAA" w:rsidRPr="000D2EAA" w:rsidRDefault="00FD5E45" w:rsidP="000D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0D2EAA" w:rsidRPr="000D2E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Współczesne języki skandynawskie i ich charakterystyka (ujęcie konfrontatywne)</w:t>
            </w:r>
          </w:p>
          <w:p w:rsidR="000D2EAA" w:rsidRPr="00BE10D2" w:rsidRDefault="00FD5E45" w:rsidP="000D2E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</w:t>
            </w:r>
            <w:r w:rsidR="000D2EAA" w:rsidRPr="000D2E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Zagadnienia kontaktów językowych i polityki językowej w Skandynawii </w:t>
            </w:r>
          </w:p>
          <w:p w:rsidR="00B153CB" w:rsidRPr="00B153CB" w:rsidRDefault="00B153CB" w:rsidP="00B153CB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01973" w:rsidRPr="000C0EC3" w:rsidTr="00776023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34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3702B5" w:rsidRDefault="003702B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76023" w:rsidRPr="00FD7A0B" w:rsidRDefault="00776023" w:rsidP="00776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FD7A0B">
              <w:rPr>
                <w:rFonts w:ascii="Tahoma" w:hAnsi="Tahoma" w:cs="Tahoma"/>
                <w:b/>
                <w:sz w:val="20"/>
                <w:szCs w:val="20"/>
              </w:rPr>
              <w:t>Wiedza</w:t>
            </w:r>
          </w:p>
          <w:p w:rsidR="00776023" w:rsidRPr="00FD7A0B" w:rsidRDefault="00776023" w:rsidP="00776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D7A0B">
              <w:rPr>
                <w:rFonts w:ascii="Tahoma" w:hAnsi="Tahoma" w:cs="Tahoma"/>
                <w:sz w:val="20"/>
                <w:szCs w:val="20"/>
              </w:rPr>
              <w:t>Student</w:t>
            </w:r>
          </w:p>
          <w:p w:rsidR="00776023" w:rsidRPr="00FD7A0B" w:rsidRDefault="00776023" w:rsidP="007760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D7A0B">
              <w:rPr>
                <w:rFonts w:ascii="Tahoma" w:hAnsi="Tahoma" w:cs="Tahoma"/>
                <w:sz w:val="20"/>
                <w:szCs w:val="20"/>
              </w:rPr>
              <w:t xml:space="preserve">- ma </w:t>
            </w:r>
            <w:r w:rsidRPr="00FD7A0B">
              <w:rPr>
                <w:rFonts w:ascii="Tahoma" w:eastAsia="Times New Roman" w:hAnsi="Tahoma" w:cs="Tahoma"/>
                <w:sz w:val="20"/>
                <w:szCs w:val="20"/>
              </w:rPr>
              <w:t>pogłębioną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 uporządkowaną i podbudowaną teoretycznie</w:t>
            </w:r>
            <w:r w:rsidRPr="00FD7A0B">
              <w:rPr>
                <w:rFonts w:ascii="Tahoma" w:eastAsia="Times New Roman" w:hAnsi="Tahoma" w:cs="Tahoma"/>
                <w:sz w:val="20"/>
                <w:szCs w:val="20"/>
              </w:rPr>
              <w:t xml:space="preserve"> wiedzę o miejscu i znaczeniu językoznawstwa w systemie nauk humanistycznych oraz o ich specyfice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FD7A0B">
              <w:rPr>
                <w:rFonts w:ascii="Tahoma" w:eastAsia="Times New Roman" w:hAnsi="Tahoma" w:cs="Tahoma"/>
                <w:sz w:val="20"/>
                <w:szCs w:val="20"/>
              </w:rPr>
              <w:t>przedmiotowej i metodologicznej; potrafi tę wiedzę rozwijać i stosować w działalności badawczej;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zna tendencje rozwojowe, do których przyporządkowany jest kierunek, </w:t>
            </w:r>
          </w:p>
          <w:p w:rsidR="00776023" w:rsidRPr="00FD7A0B" w:rsidRDefault="00776023" w:rsidP="0077602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D7A0B">
              <w:rPr>
                <w:rFonts w:ascii="Tahoma" w:eastAsia="Times New Roman" w:hAnsi="Tahoma" w:cs="Tahoma"/>
                <w:sz w:val="20"/>
                <w:szCs w:val="20"/>
              </w:rPr>
              <w:t>- ma uporządkowaną, pogłębioną wiedzę, obejmującą terminologię, teorie i metodologie z zakresu językoznawstwa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  <w:r w:rsidRPr="00FD7A0B">
              <w:rPr>
                <w:rFonts w:ascii="Tahoma" w:eastAsia="Times New Roman" w:hAnsi="Tahoma" w:cs="Tahoma"/>
                <w:sz w:val="20"/>
                <w:szCs w:val="20"/>
              </w:rPr>
              <w:t xml:space="preserve"> ma uporządkowaną wiedzę o głównych kierunkach ich rozwoju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 złożonych zależnościach między nimi</w:t>
            </w:r>
            <w:r w:rsidRPr="00FD7A0B">
              <w:rPr>
                <w:rFonts w:ascii="Tahoma" w:eastAsia="Times New Roman" w:hAnsi="Tahoma" w:cs="Tahoma"/>
                <w:sz w:val="20"/>
                <w:szCs w:val="20"/>
              </w:rPr>
              <w:t xml:space="preserve"> oraz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o </w:t>
            </w:r>
            <w:r w:rsidRPr="00FD7A0B">
              <w:rPr>
                <w:rFonts w:ascii="Tahoma" w:eastAsia="Times New Roman" w:hAnsi="Tahoma" w:cs="Tahoma"/>
                <w:sz w:val="20"/>
                <w:szCs w:val="20"/>
              </w:rPr>
              <w:t>najważniejszych nowych osiągnięciach;</w:t>
            </w:r>
          </w:p>
          <w:p w:rsidR="00067CB0" w:rsidRPr="00FD7A0B" w:rsidRDefault="00067CB0" w:rsidP="00067CB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FD7A0B">
              <w:rPr>
                <w:rFonts w:ascii="Tahoma" w:eastAsia="Times New Roman" w:hAnsi="Tahoma" w:cs="Tahoma"/>
                <w:b/>
                <w:sz w:val="20"/>
                <w:szCs w:val="20"/>
              </w:rPr>
              <w:t>Umiejętności</w:t>
            </w:r>
          </w:p>
          <w:p w:rsidR="00067CB0" w:rsidRPr="00FD7A0B" w:rsidRDefault="00067CB0" w:rsidP="00067CB0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D7A0B">
              <w:rPr>
                <w:rFonts w:ascii="Tahoma" w:hAnsi="Tahoma" w:cs="Tahoma"/>
                <w:sz w:val="20"/>
                <w:szCs w:val="20"/>
              </w:rPr>
              <w:t>- potrafi dokonać pogłębionej analizy zjawisk językowych w wybranym obszarze badawczym, odwołując się do konkretnych metod opisu języka i używając odpowiedniej terminologii</w:t>
            </w:r>
            <w:r>
              <w:rPr>
                <w:rFonts w:ascii="Tahoma" w:hAnsi="Tahoma" w:cs="Tahoma"/>
                <w:sz w:val="20"/>
                <w:szCs w:val="20"/>
              </w:rPr>
              <w:t xml:space="preserve"> stosowanej w języku niemieckim (studiowanym) i polskim</w:t>
            </w:r>
            <w:r w:rsidRPr="00FD7A0B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067CB0" w:rsidRDefault="00067CB0" w:rsidP="00067CB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FD7A0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D7A0B">
              <w:rPr>
                <w:rFonts w:ascii="Tahoma" w:eastAsia="Times New Roman" w:hAnsi="Tahoma" w:cs="Tahoma"/>
                <w:sz w:val="20"/>
                <w:szCs w:val="20"/>
              </w:rPr>
              <w:t xml:space="preserve">potrafi w języku studiowanym porozumiewać się w kwestiach szczegółowych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ze zróżnicowanymi kręgami odbiorców, w tym </w:t>
            </w:r>
            <w:r w:rsidRPr="00FD7A0B">
              <w:rPr>
                <w:rFonts w:ascii="Tahoma" w:eastAsia="Times New Roman" w:hAnsi="Tahoma" w:cs="Tahoma"/>
                <w:sz w:val="20"/>
                <w:szCs w:val="20"/>
              </w:rPr>
              <w:t>ze specjalistami w zakresie wybranej specjalności;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potrafi prowadzić debatę,</w:t>
            </w: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potrafi planować i realizować proces permanentnego uczenia i doskonalenia się, zwłaszcza w zakresie rozwijania umiejętności językowych; potrafi inspirować i organizować proces uczenia się innych osób,</w:t>
            </w:r>
          </w:p>
          <w:p w:rsidR="00067CB0" w:rsidRPr="00FD7A0B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4342B9">
              <w:rPr>
                <w:rFonts w:ascii="Tahoma" w:hAnsi="Tahoma" w:cs="Tahoma"/>
                <w:sz w:val="20"/>
                <w:szCs w:val="20"/>
              </w:rPr>
              <w:t>potrafi gospodarować czasem i realizować w wyznaczonych terminach, samodzielnie lub w zespole, określone zadania, potrafi dokonać wyboru optymalnego rozwiązania i skutecznie przekonać do swoich racji</w:t>
            </w:r>
            <w:r>
              <w:rPr>
                <w:rFonts w:ascii="Tahoma" w:hAnsi="Tahoma" w:cs="Tahoma"/>
                <w:sz w:val="20"/>
                <w:szCs w:val="20"/>
              </w:rPr>
              <w:t>; jest odpowiedzialny za wyniki uzyskane w pracy zespołowej,</w:t>
            </w:r>
          </w:p>
          <w:p w:rsidR="00067CB0" w:rsidRPr="00FD7A0B" w:rsidRDefault="00067CB0" w:rsidP="00067CB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FD7A0B">
              <w:rPr>
                <w:rFonts w:ascii="Tahoma" w:eastAsia="Times New Roman" w:hAnsi="Tahoma" w:cs="Tahoma"/>
                <w:b/>
                <w:sz w:val="20"/>
                <w:szCs w:val="20"/>
              </w:rPr>
              <w:t>Kompetencje społeczne</w:t>
            </w:r>
          </w:p>
          <w:p w:rsidR="00776023" w:rsidRPr="000C0EC3" w:rsidRDefault="00067CB0" w:rsidP="00067CB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2B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hAnsi="Tahoma" w:cs="Tahoma"/>
                <w:sz w:val="20"/>
                <w:szCs w:val="20"/>
              </w:rPr>
              <w:t>jest gotów do krytycznej oceny posiadanej wiedzy i odbieranych treści; uznaje znaczenie wiedzy w rozwiązywaniu problemów poznawczych i praktycznych.</w:t>
            </w:r>
          </w:p>
        </w:tc>
        <w:tc>
          <w:tcPr>
            <w:tcW w:w="3247" w:type="dxa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Symbole odp</w:t>
            </w:r>
            <w:r w:rsidR="00773E2F">
              <w:rPr>
                <w:rFonts w:ascii="Verdana" w:hAnsi="Verdana"/>
                <w:sz w:val="20"/>
                <w:szCs w:val="20"/>
              </w:rPr>
              <w:t>owiednich kierunkowych efektów uczenia się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0C0EC3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0C0EC3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41306">
              <w:rPr>
                <w:rFonts w:ascii="Tahoma" w:hAnsi="Tahoma" w:cs="Tahoma"/>
                <w:b/>
                <w:sz w:val="20"/>
                <w:szCs w:val="20"/>
              </w:rPr>
              <w:t>K_W01++</w:t>
            </w: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41306">
              <w:rPr>
                <w:rFonts w:ascii="Tahoma" w:hAnsi="Tahoma" w:cs="Tahoma"/>
                <w:b/>
                <w:sz w:val="20"/>
                <w:szCs w:val="20"/>
              </w:rPr>
              <w:t>K_W02+++</w:t>
            </w: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41306">
              <w:rPr>
                <w:rFonts w:ascii="Tahoma" w:hAnsi="Tahoma" w:cs="Tahoma"/>
                <w:b/>
                <w:sz w:val="20"/>
                <w:szCs w:val="20"/>
              </w:rPr>
              <w:t>K_U05+++</w:t>
            </w: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41306">
              <w:rPr>
                <w:rFonts w:ascii="Tahoma" w:hAnsi="Tahoma" w:cs="Tahoma"/>
                <w:b/>
                <w:sz w:val="20"/>
                <w:szCs w:val="20"/>
              </w:rPr>
              <w:t>K_U07++</w:t>
            </w: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41306">
              <w:rPr>
                <w:rFonts w:ascii="Tahoma" w:hAnsi="Tahoma" w:cs="Tahoma"/>
                <w:b/>
                <w:sz w:val="20"/>
                <w:szCs w:val="20"/>
              </w:rPr>
              <w:t>K_U14++</w:t>
            </w: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67CB0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67CB0" w:rsidRPr="00141306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41306">
              <w:rPr>
                <w:rFonts w:ascii="Tahoma" w:hAnsi="Tahoma" w:cs="Tahoma"/>
                <w:b/>
                <w:sz w:val="20"/>
                <w:szCs w:val="20"/>
              </w:rPr>
              <w:t>K_U15++</w:t>
            </w:r>
          </w:p>
          <w:p w:rsidR="00067CB0" w:rsidRPr="00FD7A0B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67CB0" w:rsidRPr="00FD7A0B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67CB0" w:rsidRPr="00FD7A0B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067CB0" w:rsidRPr="00FD7A0B" w:rsidRDefault="00067CB0" w:rsidP="00067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01973" w:rsidRPr="000C0EC3" w:rsidRDefault="00067CB0" w:rsidP="00067CB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41306">
              <w:rPr>
                <w:rFonts w:ascii="Tahoma" w:hAnsi="Tahoma" w:cs="Tahoma"/>
                <w:b/>
                <w:sz w:val="20"/>
                <w:szCs w:val="20"/>
              </w:rPr>
              <w:t>K_K01++</w:t>
            </w:r>
          </w:p>
        </w:tc>
      </w:tr>
      <w:tr w:rsidR="00B01973" w:rsidRPr="00845FA3" w:rsidTr="00A7131A">
        <w:trPr>
          <w:trHeight w:val="24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EB191D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EB191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EB191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EB191D" w:rsidRPr="00EB191D" w:rsidRDefault="00EB191D" w:rsidP="00EB19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1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Adamus, M. (1970): Tajemnice sag i run, Wrocław.</w:t>
            </w:r>
          </w:p>
          <w:p w:rsidR="00EB191D" w:rsidRPr="00EB191D" w:rsidRDefault="00EB191D" w:rsidP="00EB19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  <w:r w:rsidRPr="00EB191D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Braunmüller, K. (2007): Die skandinavischen Sprachen im Überblick, Tübingen/Basel.</w:t>
            </w:r>
          </w:p>
          <w:p w:rsidR="00EB191D" w:rsidRPr="00EB191D" w:rsidRDefault="00EB191D" w:rsidP="00EB19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  <w:proofErr w:type="spellStart"/>
            <w:r w:rsidRPr="00EB191D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Düwel</w:t>
            </w:r>
            <w:proofErr w:type="spellEnd"/>
            <w:r w:rsidRPr="00EB191D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, K. (2008): Runenkunde, Stuttgart.</w:t>
            </w:r>
          </w:p>
          <w:p w:rsidR="00EB191D" w:rsidRPr="00EB191D" w:rsidRDefault="00EB191D" w:rsidP="00EB19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  <w:r w:rsidRPr="00EB191D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 xml:space="preserve">Hermann, P. (2008): Nordische Mythologie, Berlin. </w:t>
            </w:r>
          </w:p>
          <w:p w:rsidR="00EB191D" w:rsidRPr="00EB191D" w:rsidRDefault="00EB191D" w:rsidP="00EB19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EB1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Horbowicz</w:t>
            </w:r>
            <w:proofErr w:type="spellEnd"/>
            <w:r w:rsidRPr="00EB1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P. i in. (2011): Runy, Warszawa.</w:t>
            </w:r>
          </w:p>
          <w:p w:rsidR="00EB191D" w:rsidRPr="00EB191D" w:rsidRDefault="00EB191D" w:rsidP="00EB19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B19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Szulc, A./ Olszański, K. (1970): Języki skandynawskie, Kraków.</w:t>
            </w:r>
          </w:p>
          <w:p w:rsidR="00EB191D" w:rsidRPr="00EB191D" w:rsidRDefault="00EB191D" w:rsidP="00EB19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  <w:r w:rsidRPr="00EB191D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Vries, J. (1941): Altnordische Literaturgeschichte I, Berlin.</w:t>
            </w:r>
          </w:p>
          <w:p w:rsidR="00EB191D" w:rsidRPr="00EB191D" w:rsidRDefault="00EB191D" w:rsidP="00EB191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</w:pPr>
            <w:r w:rsidRPr="00EB191D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Vries, J. (1942): Altnordische Literaturgeschichte II, Berlin.</w:t>
            </w:r>
          </w:p>
          <w:p w:rsidR="00B01973" w:rsidRPr="00EB191D" w:rsidRDefault="00EB191D" w:rsidP="00EB191D">
            <w:pPr>
              <w:spacing w:after="120" w:line="240" w:lineRule="auto"/>
              <w:rPr>
                <w:rFonts w:ascii="Verdana" w:hAnsi="Verdana"/>
                <w:sz w:val="20"/>
                <w:szCs w:val="20"/>
                <w:highlight w:val="yellow"/>
                <w:lang w:val="de-DE"/>
              </w:rPr>
            </w:pPr>
            <w:proofErr w:type="spellStart"/>
            <w:r w:rsidRPr="00EB191D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Wessén</w:t>
            </w:r>
            <w:proofErr w:type="spellEnd"/>
            <w:r w:rsidRPr="00EB191D">
              <w:rPr>
                <w:rFonts w:ascii="Times New Roman" w:hAnsi="Times New Roman"/>
                <w:color w:val="000000" w:themeColor="text1"/>
                <w:sz w:val="24"/>
                <w:szCs w:val="24"/>
                <w:lang w:val="de-DE"/>
              </w:rPr>
              <w:t>, E. (1968): Die nordischen Sprachen, Berlin.</w:t>
            </w:r>
          </w:p>
        </w:tc>
      </w:tr>
      <w:tr w:rsidR="00B01973" w:rsidRPr="000C0EC3" w:rsidTr="00A7131A">
        <w:trPr>
          <w:trHeight w:val="121"/>
        </w:trPr>
        <w:tc>
          <w:tcPr>
            <w:tcW w:w="487" w:type="dxa"/>
          </w:tcPr>
          <w:p w:rsidR="00B01973" w:rsidRPr="00EB191D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Metody weryfikacji</w:t>
            </w:r>
            <w:r w:rsidR="00845FA3">
              <w:rPr>
                <w:rFonts w:ascii="Verdana" w:hAnsi="Verdana"/>
                <w:sz w:val="20"/>
                <w:szCs w:val="20"/>
              </w:rPr>
              <w:t xml:space="preserve"> zakładanych efektów uczenia się</w:t>
            </w:r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B31C07" w:rsidRDefault="00B31C07" w:rsidP="00B3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31C07" w:rsidRPr="00FD7A0B" w:rsidRDefault="00B31C07" w:rsidP="00B3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D7A0B">
              <w:rPr>
                <w:rFonts w:ascii="Tahoma" w:hAnsi="Tahoma" w:cs="Tahoma"/>
                <w:b/>
                <w:sz w:val="20"/>
                <w:szCs w:val="20"/>
              </w:rPr>
              <w:t>K_W01, K_W02, K_U05, K_U07</w:t>
            </w:r>
            <w:r>
              <w:rPr>
                <w:rFonts w:ascii="Tahoma" w:hAnsi="Tahoma" w:cs="Tahoma"/>
                <w:b/>
                <w:sz w:val="20"/>
                <w:szCs w:val="20"/>
              </w:rPr>
              <w:t>, K_U14, K_U15</w:t>
            </w:r>
            <w:r w:rsidRPr="00FD7A0B">
              <w:rPr>
                <w:rFonts w:ascii="Tahoma" w:hAnsi="Tahoma" w:cs="Tahoma"/>
                <w:sz w:val="20"/>
                <w:szCs w:val="20"/>
              </w:rPr>
              <w:t xml:space="preserve"> – praca do</w:t>
            </w:r>
            <w:r w:rsidR="00E90915">
              <w:rPr>
                <w:rFonts w:ascii="Tahoma" w:hAnsi="Tahoma" w:cs="Tahoma"/>
                <w:sz w:val="20"/>
                <w:szCs w:val="20"/>
              </w:rPr>
              <w:t xml:space="preserve">mowa w formie ustnej, dyskusja </w:t>
            </w:r>
            <w:r w:rsidRPr="00FD7A0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B31C07" w:rsidRPr="00FD7A0B" w:rsidRDefault="00B31C07" w:rsidP="00B31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D7A0B">
              <w:rPr>
                <w:rFonts w:ascii="Tahoma" w:hAnsi="Tahoma" w:cs="Tahoma"/>
                <w:b/>
                <w:sz w:val="20"/>
                <w:szCs w:val="20"/>
              </w:rPr>
              <w:t>K_K01</w:t>
            </w:r>
            <w:r w:rsidRPr="00FD7A0B">
              <w:rPr>
                <w:rFonts w:ascii="Tahoma" w:hAnsi="Tahoma" w:cs="Tahoma"/>
                <w:sz w:val="20"/>
                <w:szCs w:val="20"/>
              </w:rPr>
              <w:t xml:space="preserve"> – dyskusja </w:t>
            </w:r>
          </w:p>
          <w:p w:rsidR="00B01973" w:rsidRPr="000C0EC3" w:rsidRDefault="00B01973" w:rsidP="00B31C0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EB191D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B191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B01973" w:rsidRPr="007B7F10" w:rsidRDefault="007B7F10" w:rsidP="00B31C07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7B7F10">
              <w:rPr>
                <w:rFonts w:ascii="Verdana" w:hAnsi="Verdana"/>
                <w:sz w:val="20"/>
                <w:szCs w:val="20"/>
                <w:lang w:eastAsia="pl-PL"/>
              </w:rPr>
              <w:t>–pozytywne zaliczenie zadań cząstkowych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 xml:space="preserve"> ustnych i pisemnych</w:t>
            </w:r>
            <w:r w:rsidRPr="007B7F10">
              <w:rPr>
                <w:rFonts w:ascii="Verdana" w:hAnsi="Verdana"/>
                <w:sz w:val="20"/>
                <w:szCs w:val="20"/>
                <w:lang w:eastAsia="pl-PL"/>
              </w:rPr>
              <w:t xml:space="preserve"> (m.in. omówienie czasopisma skandynawistycznego, prezentacja dot. mitologii, runologii, mini referat dot. języków Północy i in.);</w:t>
            </w:r>
          </w:p>
          <w:p w:rsidR="007B7F10" w:rsidRPr="00B153CB" w:rsidRDefault="007B7F10" w:rsidP="00B31C07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  <w:lang w:eastAsia="pl-PL"/>
              </w:rPr>
            </w:pPr>
            <w:r w:rsidRPr="007B7F10">
              <w:rPr>
                <w:rFonts w:ascii="Verdana" w:hAnsi="Verdana"/>
                <w:sz w:val="20"/>
                <w:szCs w:val="20"/>
                <w:lang w:eastAsia="pl-PL"/>
              </w:rPr>
              <w:t xml:space="preserve">–pozytywna ocena z 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 xml:space="preserve">pisemnego </w:t>
            </w:r>
            <w:r w:rsidRPr="007B7F10">
              <w:rPr>
                <w:rFonts w:ascii="Verdana" w:hAnsi="Verdana"/>
                <w:sz w:val="20"/>
                <w:szCs w:val="20"/>
                <w:lang w:eastAsia="pl-PL"/>
              </w:rPr>
              <w:t>testu końcowego</w:t>
            </w:r>
          </w:p>
        </w:tc>
      </w:tr>
      <w:tr w:rsidR="00B01973" w:rsidRPr="000C0EC3" w:rsidTr="00A7131A">
        <w:trPr>
          <w:trHeight w:val="22"/>
        </w:trPr>
        <w:tc>
          <w:tcPr>
            <w:tcW w:w="487" w:type="dxa"/>
            <w:vMerge w:val="restart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01973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B01973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0C0EC3" w:rsidRPr="000C0EC3" w:rsidRDefault="00A75587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D7A0B">
              <w:rPr>
                <w:rFonts w:ascii="Tahoma" w:hAnsi="Tahoma" w:cs="Tahoma"/>
                <w:sz w:val="20"/>
                <w:szCs w:val="20"/>
              </w:rPr>
              <w:t>- konwersatorium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4028" w:type="dxa"/>
            <w:gridSpan w:val="2"/>
          </w:tcPr>
          <w:p w:rsidR="00B01973" w:rsidRPr="000C0EC3" w:rsidRDefault="00A75587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B01973" w:rsidRPr="000C0EC3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153CB" w:rsidRPr="00985D57" w:rsidRDefault="00B01973" w:rsidP="00B153C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85D57">
              <w:rPr>
                <w:rFonts w:ascii="Verdana" w:hAnsi="Verdana"/>
                <w:sz w:val="20"/>
                <w:szCs w:val="20"/>
              </w:rPr>
              <w:t xml:space="preserve">praca własna studenta </w:t>
            </w:r>
          </w:p>
          <w:p w:rsidR="00BF5160" w:rsidRPr="00985D57" w:rsidRDefault="00BF5160" w:rsidP="00B153C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85D57">
              <w:rPr>
                <w:rFonts w:ascii="Verdana" w:hAnsi="Verdana"/>
                <w:sz w:val="20"/>
                <w:szCs w:val="20"/>
              </w:rPr>
              <w:t>– kwerenda biblioteczna</w:t>
            </w:r>
          </w:p>
          <w:p w:rsidR="00B153CB" w:rsidRPr="00985D57" w:rsidRDefault="00BF5160" w:rsidP="00B153C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85D57">
              <w:rPr>
                <w:rFonts w:ascii="Verdana" w:hAnsi="Verdana"/>
                <w:sz w:val="20"/>
                <w:szCs w:val="20"/>
              </w:rPr>
              <w:t>– opracowanie referatów i prezentacji</w:t>
            </w:r>
            <w:r w:rsidR="00985D57">
              <w:rPr>
                <w:rFonts w:ascii="Verdana" w:hAnsi="Verdana"/>
                <w:sz w:val="20"/>
                <w:szCs w:val="20"/>
              </w:rPr>
              <w:t>, dyskusji</w:t>
            </w:r>
          </w:p>
          <w:p w:rsidR="00B153CB" w:rsidRPr="00985D57" w:rsidRDefault="00BF5160" w:rsidP="00B153C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85D57">
              <w:rPr>
                <w:rFonts w:ascii="Verdana" w:hAnsi="Verdana"/>
                <w:sz w:val="20"/>
                <w:szCs w:val="20"/>
              </w:rPr>
              <w:t>– czytanie tekstów do zajęć</w:t>
            </w:r>
          </w:p>
          <w:p w:rsidR="00B153CB" w:rsidRPr="00985D57" w:rsidRDefault="00BF5160" w:rsidP="00B153C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85D57">
              <w:rPr>
                <w:rFonts w:ascii="Verdana" w:hAnsi="Verdana"/>
                <w:sz w:val="20"/>
                <w:szCs w:val="20"/>
              </w:rPr>
              <w:t>– przygotowanie wypowiedzi pisemnych</w:t>
            </w:r>
          </w:p>
          <w:p w:rsidR="00BF5160" w:rsidRPr="00985D57" w:rsidRDefault="00BF5160" w:rsidP="00B153C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85D57">
              <w:rPr>
                <w:rFonts w:ascii="Verdana" w:hAnsi="Verdana"/>
                <w:sz w:val="20"/>
                <w:szCs w:val="20"/>
              </w:rPr>
              <w:t>– przygotowanie do testu końcowego</w:t>
            </w:r>
          </w:p>
          <w:p w:rsidR="003702B5" w:rsidRPr="00B153CB" w:rsidRDefault="003702B5" w:rsidP="00A75587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</w:tc>
        <w:tc>
          <w:tcPr>
            <w:tcW w:w="4028" w:type="dxa"/>
            <w:gridSpan w:val="2"/>
          </w:tcPr>
          <w:p w:rsidR="00A75587" w:rsidRPr="00985D57" w:rsidRDefault="00A75587" w:rsidP="00A75587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A75587" w:rsidRPr="00985D57" w:rsidRDefault="00BF5160" w:rsidP="00A75587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85D57">
              <w:rPr>
                <w:rFonts w:ascii="Verdana" w:hAnsi="Verdana"/>
                <w:color w:val="000000" w:themeColor="text1"/>
                <w:sz w:val="20"/>
                <w:szCs w:val="20"/>
              </w:rPr>
              <w:t>10</w:t>
            </w:r>
          </w:p>
          <w:p w:rsidR="00BF5160" w:rsidRPr="00985D57" w:rsidRDefault="00985D57" w:rsidP="00A75587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85D57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="00BF5160" w:rsidRPr="00985D57">
              <w:rPr>
                <w:rFonts w:ascii="Verdana" w:hAnsi="Verdana"/>
                <w:color w:val="000000" w:themeColor="text1"/>
                <w:sz w:val="20"/>
                <w:szCs w:val="20"/>
              </w:rPr>
              <w:t>0</w:t>
            </w:r>
          </w:p>
          <w:p w:rsidR="00A75587" w:rsidRPr="00985D57" w:rsidRDefault="00985D57" w:rsidP="00A75587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85D57">
              <w:rPr>
                <w:rFonts w:ascii="Verdana" w:hAnsi="Verdana"/>
                <w:color w:val="000000" w:themeColor="text1"/>
                <w:sz w:val="20"/>
                <w:szCs w:val="20"/>
              </w:rPr>
              <w:t>3</w:t>
            </w:r>
            <w:r w:rsidR="00BF5160" w:rsidRPr="00985D57">
              <w:rPr>
                <w:rFonts w:ascii="Verdana" w:hAnsi="Verdana"/>
                <w:color w:val="000000" w:themeColor="text1"/>
                <w:sz w:val="20"/>
                <w:szCs w:val="20"/>
              </w:rPr>
              <w:t>0</w:t>
            </w:r>
          </w:p>
          <w:p w:rsidR="00BF5160" w:rsidRPr="00985D57" w:rsidRDefault="00BF5160" w:rsidP="00A75587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85D57">
              <w:rPr>
                <w:rFonts w:ascii="Verdana" w:hAnsi="Verdana"/>
                <w:color w:val="000000" w:themeColor="text1"/>
                <w:sz w:val="20"/>
                <w:szCs w:val="20"/>
              </w:rPr>
              <w:t>1</w:t>
            </w:r>
            <w:r w:rsidR="00985D57" w:rsidRPr="00985D57">
              <w:rPr>
                <w:rFonts w:ascii="Verdana" w:hAnsi="Verdana"/>
                <w:color w:val="000000" w:themeColor="text1"/>
                <w:sz w:val="20"/>
                <w:szCs w:val="20"/>
              </w:rPr>
              <w:t>5</w:t>
            </w:r>
          </w:p>
          <w:p w:rsidR="00985D57" w:rsidRPr="00B153CB" w:rsidRDefault="00985D57" w:rsidP="00A75587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985D57">
              <w:rPr>
                <w:rFonts w:ascii="Verdana" w:hAnsi="Verdana"/>
                <w:color w:val="000000" w:themeColor="text1"/>
                <w:sz w:val="20"/>
                <w:szCs w:val="20"/>
              </w:rPr>
              <w:t>15</w:t>
            </w:r>
          </w:p>
        </w:tc>
      </w:tr>
      <w:tr w:rsidR="00B01973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gridSpan w:val="2"/>
          </w:tcPr>
          <w:p w:rsidR="00B01973" w:rsidRPr="000C0EC3" w:rsidRDefault="00A75587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120</w:t>
            </w:r>
          </w:p>
        </w:tc>
      </w:tr>
      <w:tr w:rsidR="00B01973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gridSpan w:val="2"/>
          </w:tcPr>
          <w:p w:rsidR="00B01973" w:rsidRPr="002F2524" w:rsidRDefault="00A75587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B01973" w:rsidRDefault="00B01973"/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AC53B4C"/>
    <w:multiLevelType w:val="hybridMultilevel"/>
    <w:tmpl w:val="CBBA516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AC"/>
    <w:rsid w:val="00032D4B"/>
    <w:rsid w:val="00067CB0"/>
    <w:rsid w:val="000C0EC3"/>
    <w:rsid w:val="000C45AB"/>
    <w:rsid w:val="000D2EAA"/>
    <w:rsid w:val="00155767"/>
    <w:rsid w:val="001A1CFD"/>
    <w:rsid w:val="001B4CB1"/>
    <w:rsid w:val="001F2580"/>
    <w:rsid w:val="0021588C"/>
    <w:rsid w:val="002F2524"/>
    <w:rsid w:val="003611CF"/>
    <w:rsid w:val="003702B5"/>
    <w:rsid w:val="003F06AC"/>
    <w:rsid w:val="004556E6"/>
    <w:rsid w:val="004756FB"/>
    <w:rsid w:val="006704D7"/>
    <w:rsid w:val="006A06B2"/>
    <w:rsid w:val="00773E2F"/>
    <w:rsid w:val="00776023"/>
    <w:rsid w:val="007B7F10"/>
    <w:rsid w:val="007D2D65"/>
    <w:rsid w:val="00845FA3"/>
    <w:rsid w:val="00864E2D"/>
    <w:rsid w:val="008A2622"/>
    <w:rsid w:val="00985D57"/>
    <w:rsid w:val="0099524F"/>
    <w:rsid w:val="00A66E97"/>
    <w:rsid w:val="00A7131A"/>
    <w:rsid w:val="00A75587"/>
    <w:rsid w:val="00AF4834"/>
    <w:rsid w:val="00B01973"/>
    <w:rsid w:val="00B153CB"/>
    <w:rsid w:val="00B27E2E"/>
    <w:rsid w:val="00B31C07"/>
    <w:rsid w:val="00B4175D"/>
    <w:rsid w:val="00B61093"/>
    <w:rsid w:val="00BF5160"/>
    <w:rsid w:val="00C01E79"/>
    <w:rsid w:val="00C22864"/>
    <w:rsid w:val="00C6323D"/>
    <w:rsid w:val="00D27D69"/>
    <w:rsid w:val="00E33855"/>
    <w:rsid w:val="00E546FE"/>
    <w:rsid w:val="00E90915"/>
    <w:rsid w:val="00EB191D"/>
    <w:rsid w:val="00FD5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11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1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712</Words>
  <Characters>4274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4977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magda</cp:lastModifiedBy>
  <cp:revision>3</cp:revision>
  <dcterms:created xsi:type="dcterms:W3CDTF">2019-06-08T16:57:00Z</dcterms:created>
  <dcterms:modified xsi:type="dcterms:W3CDTF">2019-06-08T20:30:00Z</dcterms:modified>
</cp:coreProperties>
</file>